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581">
            <w:pPr>
              <w:spacing w:before="100" w:beforeAutospacing="1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Chapitre 1 : Individus et culture</w:t>
            </w:r>
            <w:r>
              <w:rPr>
                <w:b/>
                <w:bCs/>
              </w:rPr>
              <w:t>s</w:t>
            </w:r>
          </w:p>
        </w:tc>
      </w:tr>
    </w:tbl>
    <w:p w:rsidR="00000000" w:rsidRDefault="00003581">
      <w:pPr>
        <w:spacing w:before="100" w:beforeAutospacing="1"/>
      </w:pPr>
      <w:r>
        <w:t> </w:t>
      </w:r>
    </w:p>
    <w:p w:rsidR="00000000" w:rsidRDefault="00003581">
      <w:pPr>
        <w:pStyle w:val="NormalWeb"/>
        <w:spacing w:before="0" w:beforeAutospacing="0" w:after="0" w:afterAutospacing="0"/>
        <w:jc w:val="center"/>
      </w:pPr>
      <w:r>
        <w:rPr>
          <w:b/>
          <w:bCs/>
          <w:u w:val="single"/>
        </w:rPr>
        <w:t>Introduction</w:t>
      </w:r>
      <w:r>
        <w:rPr>
          <w:b/>
          <w:bCs/>
        </w:rPr>
        <w:t xml:space="preserve"> : </w:t>
      </w:r>
      <w:r>
        <w:rPr>
          <w:b/>
          <w:bCs/>
          <w:i/>
          <w:iCs/>
          <w:u w:val="single"/>
        </w:rPr>
        <w:t>L’enfant sauvage</w:t>
      </w:r>
    </w:p>
    <w:p w:rsidR="00000000" w:rsidRDefault="00003581">
      <w:pPr>
        <w:spacing w:before="100" w:beforeAutospacing="1"/>
        <w:jc w:val="both"/>
      </w:pPr>
      <w:r>
        <w:rPr>
          <w:b/>
          <w:bCs/>
        </w:rPr>
        <w:t> </w:t>
      </w:r>
    </w:p>
    <w:p w:rsidR="00000000" w:rsidRDefault="00003581">
      <w:pPr>
        <w:pStyle w:val="NormalWeb"/>
        <w:spacing w:before="0" w:beforeAutospacing="0" w:after="0" w:afterAutospacing="0"/>
        <w:jc w:val="both"/>
      </w:pPr>
      <w:r>
        <w:rPr>
          <w:b/>
          <w:bCs/>
          <w:u w:val="single"/>
        </w:rPr>
        <w:t>Doc. 1</w:t>
      </w:r>
      <w:r>
        <w:t xml:space="preserve"> : Extraits du début du film </w:t>
      </w:r>
      <w:r>
        <w:rPr>
          <w:i/>
          <w:iCs/>
        </w:rPr>
        <w:t>L’enfant sauvage</w:t>
      </w:r>
      <w:r>
        <w:t>, réalisé par François Truffaut (1969), adapté des mémoires de Victor de l’Aveyron par Jean Itard. Histoire vraie.</w:t>
      </w:r>
    </w:p>
    <w:p w:rsidR="00000000" w:rsidRDefault="00003581">
      <w:pPr>
        <w:pStyle w:val="NormalWeb"/>
        <w:spacing w:before="0" w:beforeAutospacing="0" w:after="0" w:afterAutospacing="0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t>A partir des extraits visionnés, vous répondrez par écrit aux questions suivantes :</w:t>
      </w:r>
    </w:p>
    <w:p w:rsidR="00000000" w:rsidRDefault="00003581">
      <w:pPr>
        <w:numPr>
          <w:ilvl w:val="0"/>
          <w:numId w:val="1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Décrivez précisément cet enfant et ses comportements.</w:t>
      </w:r>
    </w:p>
    <w:p w:rsidR="00000000" w:rsidRDefault="00003581">
      <w:pPr>
        <w:numPr>
          <w:ilvl w:val="0"/>
          <w:numId w:val="1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Comment se passent les premières rencontres entre l’« enfant sauvage » et les hommes ?</w:t>
      </w:r>
    </w:p>
    <w:p w:rsidR="00000000" w:rsidRDefault="00003581">
      <w:pPr>
        <w:numPr>
          <w:ilvl w:val="0"/>
          <w:numId w:val="1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A votre avis, pourquoi cet enfa</w:t>
      </w:r>
      <w:r>
        <w:rPr>
          <w:rFonts w:eastAsia="Times New Roman"/>
        </w:rPr>
        <w:t>nt se comporte-t-il ainsi ?</w:t>
      </w:r>
    </w:p>
    <w:p w:rsidR="00000000" w:rsidRDefault="00003581">
      <w:pPr>
        <w:numPr>
          <w:ilvl w:val="0"/>
          <w:numId w:val="1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Donnez des exemples de ce que cet enfant n'a pas appris.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pStyle w:val="NormalWeb"/>
        <w:spacing w:before="0" w:beforeAutospacing="0" w:after="0" w:afterAutospacing="0"/>
        <w:ind w:left="720" w:hanging="720"/>
      </w:pPr>
      <w:r>
        <w:rPr>
          <w:b/>
          <w:bCs/>
          <w:sz w:val="14"/>
          <w:szCs w:val="14"/>
        </w:rPr>
        <w:t xml:space="preserve">       </w:t>
      </w:r>
      <w:r>
        <w:rPr>
          <w:b/>
          <w:bCs/>
        </w:rPr>
        <w:t>I.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L'apprentissage de la vie en société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rPr>
          <w:b/>
          <w:bCs/>
          <w:u w:val="single"/>
        </w:rPr>
        <w:t>Doc. 2</w:t>
      </w:r>
      <w:r>
        <w:t> : 2</w:t>
      </w:r>
      <w:r>
        <w:rPr>
          <w:vertAlign w:val="superscript"/>
        </w:rPr>
        <w:t>ème</w:t>
      </w:r>
      <w:r>
        <w:t xml:space="preserve"> extrait de </w:t>
      </w:r>
      <w:r>
        <w:rPr>
          <w:i/>
          <w:iCs/>
        </w:rPr>
        <w:t>L’enfant sauvage</w:t>
      </w:r>
      <w:r>
        <w:t xml:space="preserve">. </w:t>
      </w:r>
      <w:r>
        <w:rPr>
          <w:i/>
          <w:iCs/>
        </w:rPr>
        <w:t>[3’18]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t>A partir de l’extrait visionné, vous répondrez par écrit aux questions suivantes :</w:t>
      </w:r>
    </w:p>
    <w:p w:rsidR="00000000" w:rsidRDefault="00003581">
      <w:pPr>
        <w:numPr>
          <w:ilvl w:val="0"/>
          <w:numId w:val="2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Quelles sont les normes que l’enfant sauvage (Victor) a apprises ?</w:t>
      </w:r>
    </w:p>
    <w:p w:rsidR="00000000" w:rsidRDefault="00003581">
      <w:pPr>
        <w:numPr>
          <w:ilvl w:val="0"/>
          <w:numId w:val="2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Pourquoi le docteur Itard punit-il, à tort, Victor ?</w:t>
      </w:r>
    </w:p>
    <w:p w:rsidR="00000000" w:rsidRDefault="00003581">
      <w:pPr>
        <w:numPr>
          <w:ilvl w:val="0"/>
          <w:numId w:val="2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Comment réagit Victor ?</w:t>
      </w:r>
    </w:p>
    <w:p w:rsidR="00000000" w:rsidRDefault="00003581">
      <w:pPr>
        <w:numPr>
          <w:ilvl w:val="0"/>
          <w:numId w:val="2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Quelle est la conclusion de c</w:t>
      </w:r>
      <w:r>
        <w:rPr>
          <w:rFonts w:eastAsia="Times New Roman"/>
        </w:rPr>
        <w:t>ette expérience pour le docteur Itard ?</w:t>
      </w:r>
    </w:p>
    <w:p w:rsidR="00000000" w:rsidRDefault="00003581">
      <w:pPr>
        <w:spacing w:before="100" w:beforeAutospacing="1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000000">
        <w:trPr>
          <w:trHeight w:val="68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581">
            <w:pPr>
              <w:spacing w:before="100" w:beforeAutospacing="1"/>
              <w:jc w:val="both"/>
            </w:pPr>
            <w:r>
              <w:rPr>
                <w:b/>
                <w:bCs/>
                <w:u w:val="single"/>
              </w:rPr>
              <w:t>Exercice 1</w:t>
            </w:r>
            <w:r>
              <w:rPr>
                <w:i/>
                <w:iCs/>
              </w:rPr>
              <w:t> </w:t>
            </w:r>
            <w:r>
              <w:t>: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t> 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rPr>
                <w:b/>
                <w:bCs/>
                <w:u w:val="single"/>
              </w:rPr>
              <w:t>Doc. 3</w:t>
            </w:r>
            <w:r>
              <w:t> : Manger, un acte naturel ?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t>Chaque culture se singularise de multiples façons. Examinons le cérémonial des repas. Rien ne peut paraître plus « naturel » que de manger. Tout homme, comme n’i</w:t>
            </w:r>
            <w:r>
              <w:t>mporte quel organisme vivant, doit en effet s’alimenter à intervalles réguliers. Les pratiques culinaires ne sont pourtant pas identiques, mais admettent plusieurs variantes : utilise-t-on une fourchette, des bâtonnets… ? Des interdits frappent-ils certain</w:t>
            </w:r>
            <w:r>
              <w:t>s mets ?[…] Les réponses apportées sont des plus diversifiées : les agriculteurs du nord de l’Angola se refusent à boire du lait ; pour d’autres tribus africaines, l’absorption de racines rapproche du sacré ; nous-mêmes apprécions les crevettes et méprison</w:t>
            </w:r>
            <w:r>
              <w:t>s les sauterelles…</w:t>
            </w:r>
          </w:p>
          <w:p w:rsidR="00000000" w:rsidRDefault="00003581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 xml:space="preserve">Gilles Féréol et Jean-Pierre Noreck, </w:t>
            </w:r>
            <w:r>
              <w:rPr>
                <w:i/>
                <w:iCs/>
                <w:sz w:val="20"/>
                <w:szCs w:val="20"/>
              </w:rPr>
              <w:t xml:space="preserve">Introduction à la sociologie, </w:t>
            </w:r>
            <w:r>
              <w:rPr>
                <w:sz w:val="20"/>
                <w:szCs w:val="20"/>
              </w:rPr>
              <w:t>Armand Colin, coll. « cursus »,  1990.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rPr>
                <w:b/>
                <w:bCs/>
              </w:rPr>
              <w:t> 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rPr>
                <w:b/>
                <w:bCs/>
                <w:u w:val="single"/>
              </w:rPr>
              <w:t>Doc. 4</w:t>
            </w:r>
            <w:r>
              <w:t> : Simple comme bonjour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t xml:space="preserve">Dès la maternelle, les enfants se saluent, se font des bisous. Puis </w:t>
            </w:r>
            <w:r>
              <w:t>prennent de la distance, y compris avec des adultes : « Vers l’âge de 11-12 ans, quand ils rentrent à la maison, les garçons n’embrassent plus leur mère. Celle-ci se demande d’ailleurs pourquoi et en souffre. » Ce besoin de se montrer viril et mûr se tradu</w:t>
            </w:r>
            <w:r>
              <w:t>it aussi avec les amis du même âge lorsque la poignée de main remplace le salut distant. Avec des variantes : la main qui va au cœur, comme dans certains pays musulmans, marque l’attachement. Les poings qui se cognent ou les doigts qui se lacent, marque l’</w:t>
            </w:r>
            <w:r>
              <w:t>appartenance à un groupe. Ce n’est que bien des années plus tard, une fois leur « virilité affirmée » que des hommes reviendront à la bise entre eux.</w:t>
            </w:r>
          </w:p>
          <w:p w:rsidR="00000000" w:rsidRDefault="00003581">
            <w:pPr>
              <w:spacing w:before="100" w:beforeAutospacing="1"/>
              <w:jc w:val="right"/>
            </w:pPr>
            <w:r>
              <w:rPr>
                <w:sz w:val="20"/>
                <w:szCs w:val="20"/>
              </w:rPr>
              <w:t xml:space="preserve">Michaël Haidenberg, « Le salut est dans le bonjour », </w:t>
            </w:r>
            <w:r>
              <w:rPr>
                <w:i/>
                <w:iCs/>
                <w:sz w:val="20"/>
                <w:szCs w:val="20"/>
              </w:rPr>
              <w:t>Libération</w:t>
            </w:r>
            <w:r>
              <w:rPr>
                <w:sz w:val="20"/>
                <w:szCs w:val="20"/>
              </w:rPr>
              <w:t>, 30 août 2004.</w:t>
            </w:r>
          </w:p>
          <w:p w:rsidR="00000000" w:rsidRDefault="00003581">
            <w:pPr>
              <w:spacing w:before="100" w:beforeAutospacing="1"/>
              <w:jc w:val="both"/>
            </w:pPr>
            <w:r>
              <w:t>Questions :</w:t>
            </w:r>
          </w:p>
          <w:p w:rsidR="00000000" w:rsidRDefault="00003581">
            <w:pPr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eastAsia="Times New Roman"/>
              </w:rPr>
              <w:t>Soulignez d’un</w:t>
            </w:r>
            <w:r>
              <w:rPr>
                <w:rFonts w:eastAsia="Times New Roman"/>
              </w:rPr>
              <w:t>e couleur différente, les normes et les valeurs présentes dans ces deux textes.</w:t>
            </w:r>
          </w:p>
          <w:p w:rsidR="00000000" w:rsidRDefault="00003581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eastAsia="Times New Roman"/>
              </w:rPr>
              <w:t>Est-ce que les normes et valeurs sont les mêmes partout ?</w:t>
            </w:r>
          </w:p>
        </w:tc>
      </w:tr>
    </w:tbl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rPr>
          <w:rFonts w:eastAsia="Times New Roman"/>
        </w:rPr>
      </w:pPr>
      <w:r>
        <w:rPr>
          <w:rFonts w:eastAsia="Times New Roman"/>
        </w:rPr>
        <w:br w:type="page"/>
        <w:t> </w:t>
      </w:r>
    </w:p>
    <w:p w:rsidR="00000000" w:rsidRDefault="00003581">
      <w:pPr>
        <w:pStyle w:val="NormalWeb"/>
        <w:spacing w:before="0" w:beforeAutospacing="0" w:after="0" w:afterAutospacing="0"/>
        <w:ind w:left="720" w:hanging="720"/>
      </w:pPr>
      <w:r>
        <w:rPr>
          <w:b/>
          <w:bCs/>
          <w:sz w:val="14"/>
          <w:szCs w:val="14"/>
        </w:rPr>
        <w:t xml:space="preserve">    </w:t>
      </w:r>
      <w:r>
        <w:rPr>
          <w:b/>
          <w:bCs/>
        </w:rPr>
        <w:t>II.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Apprendre à vivre en société grâce à la famille et l’école</w:t>
      </w:r>
    </w:p>
    <w:p w:rsidR="00000000" w:rsidRDefault="00003581">
      <w:pPr>
        <w:spacing w:before="100" w:beforeAutospacing="1"/>
      </w:pPr>
      <w:r>
        <w:t> </w:t>
      </w:r>
    </w:p>
    <w:p w:rsidR="00000000" w:rsidRDefault="00003581">
      <w:pPr>
        <w:numPr>
          <w:ilvl w:val="1"/>
          <w:numId w:val="4"/>
        </w:numPr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b/>
          <w:bCs/>
        </w:rPr>
        <w:t>La famille</w:t>
      </w:r>
    </w:p>
    <w:p w:rsidR="00000000" w:rsidRDefault="00003581">
      <w:pPr>
        <w:spacing w:before="100" w:beforeAutospacing="1"/>
      </w:pPr>
      <w:r>
        <w:rPr>
          <w:b/>
          <w:bCs/>
        </w:rPr>
        <w:t> </w:t>
      </w:r>
    </w:p>
    <w:p w:rsidR="00000000" w:rsidRDefault="00003581">
      <w:pPr>
        <w:spacing w:before="100" w:beforeAutospacing="1"/>
      </w:pPr>
      <w:r>
        <w:rPr>
          <w:b/>
          <w:bCs/>
          <w:u w:val="single"/>
        </w:rPr>
        <w:t>Doc. 5</w:t>
      </w:r>
      <w:r>
        <w:rPr>
          <w:b/>
          <w:bCs/>
        </w:rPr>
        <w:t xml:space="preserve"> : </w:t>
      </w:r>
      <w:r>
        <w:t>Le rôle de la famille dans la socialisation</w:t>
      </w:r>
    </w:p>
    <w:p w:rsidR="00000000" w:rsidRDefault="00003581">
      <w:pPr>
        <w:spacing w:before="100" w:beforeAutospacing="1"/>
        <w:jc w:val="both"/>
      </w:pPr>
      <w:r>
        <w:rPr>
          <w:b/>
          <w:bCs/>
          <w:noProof/>
        </w:rPr>
        <w:drawing>
          <wp:inline distT="0" distB="0" distL="0" distR="0">
            <wp:extent cx="3200400" cy="3924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3581">
      <w:pPr>
        <w:spacing w:before="100" w:beforeAutospacing="1"/>
        <w:jc w:val="both"/>
      </w:pPr>
      <w:r>
        <w:t>Questions :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Relevez dans le texte les gestes que l'enfant apprend. Trouvez-en d'autres.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Relevez dans le texte les manières de se comporter que l'enfant apprend. Trouvez-en d'autres.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Relevez dans le texte comment la socialisation s'effectue-t-elle. Donnez des exemples.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Vous venez de montrer que l'enfant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tout comme Victor dans </w:t>
      </w:r>
      <w:r>
        <w:rPr>
          <w:rFonts w:eastAsia="Times New Roman"/>
          <w:i/>
          <w:iCs/>
        </w:rPr>
        <w:t>L'enfant sauvage</w:t>
      </w:r>
      <w:r>
        <w:rPr>
          <w:rFonts w:eastAsia="Times New Roman"/>
        </w:rPr>
        <w:t>, apprend des gestes et des manières de se comporter. Il apprend donc des normes. Qu'apprend-il également ? Donnez des exemples.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La famille est-elle le seul lieu où l'enfant est socialisé ?</w:t>
      </w:r>
    </w:p>
    <w:p w:rsidR="00000000" w:rsidRDefault="00003581">
      <w:pPr>
        <w:numPr>
          <w:ilvl w:val="0"/>
          <w:numId w:val="5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Quelle est la conséquence pour l'enfant ?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numPr>
          <w:ilvl w:val="1"/>
          <w:numId w:val="6"/>
        </w:numPr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b/>
          <w:bCs/>
        </w:rPr>
        <w:t>L’école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</w:pPr>
      <w:r>
        <w:rPr>
          <w:b/>
          <w:bCs/>
          <w:u w:val="single"/>
        </w:rPr>
        <w:t>Doc. 6</w:t>
      </w:r>
      <w:r>
        <w:rPr>
          <w:b/>
          <w:bCs/>
        </w:rPr>
        <w:t xml:space="preserve"> : </w:t>
      </w:r>
      <w:r>
        <w:t xml:space="preserve">Le </w:t>
      </w:r>
      <w:r>
        <w:t>règlement intérieur du lycée Jean Michel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t>Après avoir lu le préambule du règlement intérieur (cf. votre mémento du lycée), vous répondrez aux questions suivantes :</w:t>
      </w:r>
    </w:p>
    <w:p w:rsidR="00000000" w:rsidRDefault="00003581">
      <w:pPr>
        <w:numPr>
          <w:ilvl w:val="0"/>
          <w:numId w:val="7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Un élève n’est-il au lycée que pour apprendre des connaissances ?</w:t>
      </w:r>
    </w:p>
    <w:p w:rsidR="00000000" w:rsidRDefault="00003581">
      <w:pPr>
        <w:numPr>
          <w:ilvl w:val="0"/>
          <w:numId w:val="7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Donnez le sens des mots s</w:t>
      </w:r>
      <w:r>
        <w:rPr>
          <w:rFonts w:eastAsia="Times New Roman"/>
        </w:rPr>
        <w:t>uivants : neutralité, laïcité, prosélytisme.</w:t>
      </w:r>
    </w:p>
    <w:p w:rsidR="00000000" w:rsidRDefault="00003581">
      <w:pPr>
        <w:numPr>
          <w:ilvl w:val="0"/>
          <w:numId w:val="7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Quels sont les droits et les obligations des élèves ?</w:t>
      </w:r>
    </w:p>
    <w:p w:rsidR="00000000" w:rsidRDefault="00003581">
      <w:pPr>
        <w:numPr>
          <w:ilvl w:val="0"/>
          <w:numId w:val="7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Montrez que l’école est une instance de socialisation.</w:t>
      </w:r>
    </w:p>
    <w:p w:rsidR="00000000" w:rsidRDefault="00003581">
      <w:pPr>
        <w:rPr>
          <w:rFonts w:eastAsia="Times New Roman"/>
        </w:rPr>
      </w:pPr>
      <w:r>
        <w:rPr>
          <w:rFonts w:eastAsia="Times New Roman"/>
        </w:rPr>
        <w:br w:type="page"/>
        <w:t> </w:t>
      </w:r>
    </w:p>
    <w:p w:rsidR="00000000" w:rsidRDefault="00003581">
      <w:pPr>
        <w:pStyle w:val="NormalWeb"/>
        <w:spacing w:before="0" w:beforeAutospacing="0" w:after="0" w:afterAutospacing="0"/>
        <w:ind w:left="720" w:hanging="720"/>
      </w:pPr>
      <w:r>
        <w:rPr>
          <w:b/>
          <w:bCs/>
          <w:sz w:val="14"/>
          <w:szCs w:val="14"/>
        </w:rPr>
        <w:t> </w:t>
      </w:r>
      <w:r>
        <w:rPr>
          <w:b/>
          <w:bCs/>
        </w:rPr>
        <w:t>III.</w:t>
      </w:r>
      <w:r>
        <w:rPr>
          <w:b/>
          <w:bCs/>
          <w:sz w:val="14"/>
          <w:szCs w:val="14"/>
        </w:rPr>
        <w:t xml:space="preserve">            </w:t>
      </w:r>
      <w:r>
        <w:rPr>
          <w:b/>
          <w:bCs/>
        </w:rPr>
        <w:t>Apprenons-nous tous les mêmes choses... ?</w:t>
      </w:r>
    </w:p>
    <w:p w:rsidR="00000000" w:rsidRDefault="00003581">
      <w:pPr>
        <w:pStyle w:val="NormalWeb"/>
        <w:spacing w:before="0" w:beforeAutospacing="0" w:after="0" w:afterAutospacing="0"/>
      </w:pPr>
      <w:r>
        <w:t> </w:t>
      </w:r>
    </w:p>
    <w:p w:rsidR="00000000" w:rsidRDefault="00003581">
      <w:pPr>
        <w:numPr>
          <w:ilvl w:val="1"/>
          <w:numId w:val="8"/>
        </w:numPr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b/>
          <w:bCs/>
        </w:rPr>
        <w:t>… selon que l'on est une fille ou un g</w:t>
      </w:r>
      <w:r>
        <w:rPr>
          <w:rFonts w:eastAsia="Times New Roman"/>
          <w:b/>
          <w:bCs/>
        </w:rPr>
        <w:t>arçon ?</w:t>
      </w:r>
    </w:p>
    <w:p w:rsidR="00000000" w:rsidRDefault="00003581">
      <w:pPr>
        <w:spacing w:before="100" w:beforeAutospacing="1"/>
      </w:pPr>
      <w:r>
        <w:rPr>
          <w:b/>
          <w:bCs/>
        </w:rPr>
        <w:t>   </w:t>
      </w:r>
      <w:r>
        <w:rPr>
          <w:b/>
          <w:bCs/>
          <w:u w:val="single"/>
        </w:rPr>
        <w:t>Doc. 7</w:t>
      </w:r>
      <w:r>
        <w:rPr>
          <w:b/>
          <w:bCs/>
        </w:rPr>
        <w:t xml:space="preserve"> </w:t>
      </w:r>
      <w:r>
        <w:t>:</w:t>
      </w:r>
      <w:r>
        <w:rPr>
          <w:b/>
          <w:bCs/>
        </w:rPr>
        <w:t xml:space="preserve"> </w:t>
      </w:r>
      <w:r>
        <w:t>Extraits d’un catalogue de jouets</w:t>
      </w:r>
    </w:p>
    <w:p w:rsidR="00000000" w:rsidRDefault="00003581">
      <w:pPr>
        <w:spacing w:before="100" w:beforeAutospacing="1"/>
      </w:pPr>
      <w:r>
        <w:rPr>
          <w:noProof/>
        </w:rPr>
        <w:drawing>
          <wp:inline distT="0" distB="0" distL="0" distR="0">
            <wp:extent cx="6524625" cy="3390900"/>
            <wp:effectExtent l="0" t="0" r="9525" b="0"/>
            <wp:docPr id="2" name="Image 2" descr="Jouets_filles_gar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ets_filles_garç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3581">
      <w:pPr>
        <w:spacing w:before="100" w:beforeAutospacing="1"/>
        <w:jc w:val="both"/>
      </w:pPr>
      <w:r>
        <w:t>Questions :</w:t>
      </w:r>
    </w:p>
    <w:p w:rsidR="00000000" w:rsidRDefault="00003581">
      <w:pPr>
        <w:numPr>
          <w:ilvl w:val="0"/>
          <w:numId w:val="9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Quelles couleurs ce catalogue de jouets associe-t-il aux filles ? Aux garçons ?</w:t>
      </w:r>
    </w:p>
    <w:p w:rsidR="00000000" w:rsidRDefault="00003581">
      <w:pPr>
        <w:numPr>
          <w:ilvl w:val="0"/>
          <w:numId w:val="9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Quels jouets ce catalogue destine-t-il aux filles ? Aux garçons ?</w:t>
      </w:r>
    </w:p>
    <w:p w:rsidR="00000000" w:rsidRDefault="00003581">
      <w:pPr>
        <w:numPr>
          <w:ilvl w:val="0"/>
          <w:numId w:val="9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 genre d’activité ces jouets encouragent-ils à pratiquer par les filles et les garçons ?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rPr>
          <w:b/>
          <w:bCs/>
          <w:u w:val="single"/>
        </w:rPr>
        <w:t>Doc. 8</w:t>
      </w:r>
      <w:r>
        <w:rPr>
          <w:b/>
          <w:bCs/>
        </w:rPr>
        <w:t xml:space="preserve"> : </w:t>
      </w:r>
      <w:r>
        <w:t>A l’école, une mixité en pointillés</w:t>
      </w:r>
    </w:p>
    <w:p w:rsidR="00000000" w:rsidRDefault="00003581">
      <w:pPr>
        <w:spacing w:before="120"/>
        <w:jc w:val="both"/>
      </w:pPr>
      <w:r>
        <w:t xml:space="preserve">«  Quels </w:t>
      </w:r>
      <w:r>
        <w:t>rôles sont montrés aux filles et aux garçons au sein de l’institution [crèche, maternelle] ? Ces derniers […] ne véhiculent-ils pas encore largement des stéréotypes</w:t>
      </w:r>
      <w:r>
        <w:rPr>
          <w:vertAlign w:val="superscript"/>
        </w:rPr>
        <w:t>1</w:t>
      </w:r>
      <w:r>
        <w:t xml:space="preserve"> ? Si les professionnels disent ne pas faire de différences entre enfants, entre filles et </w:t>
      </w:r>
      <w:r>
        <w:t>garçons, l’observation, l’analyse des interactions adultes/enfants et des discours témoignent qu’à leur insu la prise en charge des filles et des garçons est différenciée en de nombreux domaines.[…] Très tôt, les remarques sur les capacités enfantines sont</w:t>
      </w:r>
      <w:r>
        <w:t xml:space="preserve"> différenciées selon le sexe des enfants en fonction d’attitudes et/ou de comportements attendus. Ainsi, au niveau de la motricité, un petit garçon « peu adroit » sur le plan moteur reçoit généralement davantage de remarques négatives qu’une petite fille p</w:t>
      </w:r>
      <w:r>
        <w:t>ourtant au même niveau de développement moteur. Une petite fille jugée « agitée » reçoit davantage de remontrances qu’un petit garçon. Les petites filles sont davantage sollicitées pour faire des activités « calmes » assises autour d’une table : « aux fill</w:t>
      </w:r>
      <w:r>
        <w:t>es on va plutôt proposer des trucs calmes, on va leur donner des poupées, de la dînette, on va leur mettre des activités manuelles. » Les garçons sont, quant à eux, plus sollicités pour participer aux activités motrices : « aux garçons, on propose plus des</w:t>
      </w:r>
      <w:r>
        <w:t xml:space="preserve"> jeux, des activités où ils vont se dépenser, des jeux où ils vont pouvoir courir, ils en ont plus besoin que les filles. »</w:t>
      </w:r>
    </w:p>
    <w:p w:rsidR="00000000" w:rsidRDefault="00003581">
      <w:pPr>
        <w:spacing w:before="100" w:beforeAutospacing="1"/>
        <w:jc w:val="right"/>
      </w:pPr>
      <w:r>
        <w:rPr>
          <w:sz w:val="20"/>
          <w:szCs w:val="20"/>
        </w:rPr>
        <w:t xml:space="preserve">Nicolas Murcier, Revue </w:t>
      </w:r>
      <w:r>
        <w:rPr>
          <w:i/>
          <w:iCs/>
          <w:sz w:val="20"/>
          <w:szCs w:val="20"/>
        </w:rPr>
        <w:t>Mouvements</w:t>
      </w:r>
      <w:r>
        <w:rPr>
          <w:sz w:val="20"/>
          <w:szCs w:val="20"/>
        </w:rPr>
        <w:t>, n°49, 2007.</w:t>
      </w:r>
    </w:p>
    <w:p w:rsidR="00000000" w:rsidRDefault="00003581">
      <w:pPr>
        <w:spacing w:before="100" w:beforeAutospacing="1"/>
        <w:jc w:val="both"/>
      </w:pPr>
      <w:r>
        <w:rPr>
          <w:sz w:val="20"/>
          <w:szCs w:val="20"/>
        </w:rPr>
        <w:t>1. Modèles de comportement.</w:t>
      </w:r>
    </w:p>
    <w:p w:rsidR="00000000" w:rsidRDefault="00003581">
      <w:pPr>
        <w:spacing w:before="100" w:beforeAutospacing="1"/>
        <w:jc w:val="both"/>
      </w:pPr>
      <w:r>
        <w:rPr>
          <w:b/>
          <w:bCs/>
        </w:rPr>
        <w:t> </w:t>
      </w:r>
    </w:p>
    <w:p w:rsidR="00000000" w:rsidRDefault="00003581">
      <w:pPr>
        <w:spacing w:before="100" w:beforeAutospacing="1"/>
        <w:jc w:val="both"/>
      </w:pPr>
      <w:r>
        <w:t>Questions :</w:t>
      </w:r>
    </w:p>
    <w:p w:rsidR="00000000" w:rsidRDefault="00003581">
      <w:pPr>
        <w:numPr>
          <w:ilvl w:val="0"/>
          <w:numId w:val="10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En crèche et/ou maternelle, quelles sont le</w:t>
      </w:r>
      <w:r>
        <w:rPr>
          <w:rFonts w:eastAsia="Times New Roman"/>
        </w:rPr>
        <w:t>s activités proposées pour un petit garçon ? Pour une petite fille ?</w:t>
      </w:r>
    </w:p>
    <w:p w:rsidR="00000000" w:rsidRDefault="00003581">
      <w:pPr>
        <w:numPr>
          <w:ilvl w:val="0"/>
          <w:numId w:val="10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Quelle est la qualité qui est attendue pour un petit garçon ? Pour une petite fille ?</w:t>
      </w:r>
    </w:p>
    <w:p w:rsidR="00000000" w:rsidRDefault="00003581">
      <w:pPr>
        <w:rPr>
          <w:rFonts w:eastAsia="Times New Roman"/>
        </w:rPr>
      </w:pPr>
      <w:r>
        <w:rPr>
          <w:rFonts w:eastAsia="Times New Roman"/>
        </w:rPr>
        <w:br w:type="page"/>
        <w:t> </w:t>
      </w:r>
    </w:p>
    <w:p w:rsidR="00000000" w:rsidRDefault="00003581">
      <w:pPr>
        <w:spacing w:before="100" w:beforeAutospacing="1" w:line="240" w:lineRule="atLeast"/>
      </w:pPr>
      <w:r>
        <w:rPr>
          <w:b/>
          <w:bCs/>
          <w:u w:val="single"/>
        </w:rPr>
        <w:t>Doc. 9</w:t>
      </w:r>
      <w:r>
        <w:rPr>
          <w:b/>
          <w:bCs/>
        </w:rPr>
        <w:t> :</w:t>
      </w:r>
      <w:r>
        <w:t xml:space="preserve"> Répartition des tâches domestiques</w:t>
      </w:r>
    </w:p>
    <w:p w:rsidR="00000000" w:rsidRDefault="00003581">
      <w:pPr>
        <w:spacing w:before="100" w:beforeAutospacing="1"/>
        <w:jc w:val="both"/>
      </w:pPr>
      <w:r>
        <w:t> </w:t>
      </w:r>
    </w:p>
    <w:tbl>
      <w:tblPr>
        <w:tblW w:w="763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0"/>
      </w:tblGrid>
      <w:tr w:rsidR="00000000">
        <w:trPr>
          <w:trHeight w:val="4102"/>
          <w:tblCellSpacing w:w="7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7240" w:type="dxa"/>
              <w:tblCellSpacing w:w="7" w:type="dxa"/>
              <w:shd w:val="clear" w:color="auto" w:fill="00336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6"/>
              <w:gridCol w:w="1546"/>
              <w:gridCol w:w="1468"/>
            </w:tblGrid>
            <w:tr w:rsidR="00000000">
              <w:trPr>
                <w:trHeight w:val="231"/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003366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/>
                  </w:pPr>
                  <w:r>
                    <w:rPr>
                      <w:b/>
                      <w:bCs/>
                      <w:color w:val="FFFFFF"/>
                    </w:rPr>
                    <w:t>Durée moyenne des activités au cours d'une journée (du lundi au dimanche)</w:t>
                  </w:r>
                  <w:r>
                    <w:br/>
                  </w:r>
                  <w:r>
                    <w:rPr>
                      <w:color w:val="FFFFFF"/>
                    </w:rPr>
                    <w:t>Unité : heures par jou</w:t>
                  </w:r>
                  <w:r>
                    <w:rPr>
                      <w:color w:val="FFFFFF"/>
                    </w:rPr>
                    <w:t>r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Homme</w:t>
                  </w:r>
                  <w:r>
                    <w:t>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Femme</w:t>
                  </w:r>
                  <w:r>
                    <w:t>s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 xml:space="preserve">Temps personnel </w:t>
                  </w:r>
                  <w:r>
                    <w:t>*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11h2</w:t>
                  </w: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11h3</w:t>
                  </w:r>
                  <w:r>
                    <w:t>6</w:t>
                  </w:r>
                </w:p>
              </w:tc>
            </w:tr>
            <w:tr w:rsidR="00000000">
              <w:trPr>
                <w:trHeight w:val="81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</w:pPr>
                  <w:r>
                    <w:t>Temps libr</w:t>
                  </w:r>
                  <w:r>
                    <w:t>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4h2</w:t>
                  </w: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3h2</w:t>
                  </w:r>
                  <w:r>
                    <w:t>5</w:t>
                  </w:r>
                </w:p>
              </w:tc>
            </w:tr>
            <w:tr w:rsidR="00000000">
              <w:trPr>
                <w:trHeight w:val="81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</w:pPr>
                  <w:r>
                    <w:t>Temps contrain</w:t>
                  </w:r>
                  <w:r>
                    <w:t>t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8h1</w:t>
                  </w:r>
                  <w:r>
                    <w:t>6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8h5</w:t>
                  </w:r>
                  <w:r>
                    <w:t>9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 xml:space="preserve">dont </w:t>
                  </w:r>
                  <w: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Travail professionne</w:t>
                  </w:r>
                  <w:r>
                    <w:t>l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5h5</w:t>
                  </w:r>
                  <w:r>
                    <w:t>6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4h5</w:t>
                  </w:r>
                  <w:r>
                    <w:t>1</w:t>
                  </w:r>
                </w:p>
              </w:tc>
            </w:tr>
            <w:tr w:rsidR="00000000">
              <w:trPr>
                <w:trHeight w:val="168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168" w:lineRule="atLeast"/>
                  </w:pPr>
                  <w:r>
                    <w:t>Soins aux enfants et aux adulte</w:t>
                  </w:r>
                  <w:r>
                    <w:t>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168" w:lineRule="atLeast"/>
                    <w:jc w:val="center"/>
                  </w:pPr>
                  <w:r>
                    <w:t>0h1</w:t>
                  </w:r>
                  <w: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168" w:lineRule="atLeast"/>
                    <w:jc w:val="center"/>
                  </w:pPr>
                  <w:r>
                    <w:t>0h4</w:t>
                  </w:r>
                  <w:r>
                    <w:t>2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Temps (tâches) domestique(s</w:t>
                  </w:r>
                  <w:r>
                    <w:t>)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rPr>
                      <w:u w:val="single"/>
                    </w:rPr>
                    <w:t>2h0</w:t>
                  </w:r>
                  <w:r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rPr>
                      <w:u w:val="single"/>
                    </w:rPr>
                    <w:t>3h2</w:t>
                  </w:r>
                  <w:r>
                    <w:rPr>
                      <w:u w:val="single"/>
                    </w:rPr>
                    <w:t>6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 xml:space="preserve">dont </w:t>
                  </w:r>
                  <w: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 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Cuisin</w:t>
                  </w:r>
                  <w:r>
                    <w:t>e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0h2</w:t>
                  </w: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1h1</w:t>
                  </w:r>
                  <w:r>
                    <w:t>2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Ménag</w:t>
                  </w:r>
                  <w:r>
                    <w:t>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0h1</w:t>
                  </w:r>
                  <w: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0h5</w:t>
                  </w:r>
                  <w:r>
                    <w:t>1</w:t>
                  </w:r>
                </w:p>
              </w:tc>
            </w:tr>
            <w:tr w:rsidR="00000000">
              <w:trPr>
                <w:trHeight w:val="81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</w:pPr>
                  <w:r>
                    <w:t>Ling</w:t>
                  </w:r>
                  <w:r>
                    <w:t>e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0h0</w:t>
                  </w:r>
                  <w:r>
                    <w:t>3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0h3</w:t>
                  </w:r>
                  <w:r>
                    <w:t>1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Comptes et démarche</w:t>
                  </w:r>
                  <w:r>
                    <w:t>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0h0</w:t>
                  </w: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0h0</w:t>
                  </w:r>
                  <w:r>
                    <w:t>4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Course</w:t>
                  </w:r>
                  <w:r>
                    <w:t>s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0h2</w:t>
                  </w:r>
                  <w:r>
                    <w:t>2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0h3</w:t>
                  </w:r>
                  <w:r>
                    <w:t>3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Bricolage et jardinag</w:t>
                  </w:r>
                  <w:r>
                    <w:t>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0h4</w:t>
                  </w:r>
                  <w: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0h0</w:t>
                  </w:r>
                  <w:r>
                    <w:t>8</w:t>
                  </w:r>
                </w:p>
              </w:tc>
            </w:tr>
            <w:tr w:rsidR="00000000">
              <w:trPr>
                <w:trHeight w:val="87"/>
                <w:tblCellSpacing w:w="7" w:type="dxa"/>
              </w:trPr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</w:pPr>
                  <w:r>
                    <w:t>Entretien et diver</w:t>
                  </w:r>
                  <w:r>
                    <w:t>s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0h1</w:t>
                  </w:r>
                  <w:r>
                    <w:t>4</w:t>
                  </w:r>
                </w:p>
              </w:tc>
              <w:tc>
                <w:tcPr>
                  <w:tcW w:w="0" w:type="auto"/>
                  <w:shd w:val="clear" w:color="auto" w:fill="E4E4E4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7" w:lineRule="atLeast"/>
                    <w:jc w:val="center"/>
                  </w:pPr>
                  <w:r>
                    <w:t>0h0</w:t>
                  </w:r>
                  <w:r>
                    <w:t>7</w:t>
                  </w:r>
                </w:p>
              </w:tc>
            </w:tr>
            <w:tr w:rsidR="00000000">
              <w:trPr>
                <w:trHeight w:val="6"/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003366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6" w:lineRule="atLeast"/>
                  </w:pPr>
                  <w:r>
                    <w:t> </w:t>
                  </w:r>
                </w:p>
              </w:tc>
            </w:tr>
            <w:tr w:rsidR="00000000">
              <w:trPr>
                <w:trHeight w:val="81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</w:pPr>
                  <w:r>
                    <w:t>Tota</w:t>
                  </w:r>
                  <w:r>
                    <w:t>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24h0</w:t>
                  </w:r>
                  <w: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81" w:lineRule="atLeast"/>
                    <w:jc w:val="center"/>
                  </w:pPr>
                  <w:r>
                    <w:t>24h0</w:t>
                  </w:r>
                  <w:r>
                    <w:t>0</w:t>
                  </w:r>
                </w:p>
              </w:tc>
            </w:tr>
            <w:tr w:rsidR="00000000">
              <w:trPr>
                <w:trHeight w:val="75"/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003366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75" w:lineRule="atLeast"/>
                  </w:pPr>
                  <w:r>
                    <w:rPr>
                      <w:i/>
                      <w:iCs/>
                      <w:color w:val="FFFFFF"/>
                    </w:rPr>
                    <w:t>* soins personnels, repas et sommei</w:t>
                  </w:r>
                  <w:r>
                    <w:rPr>
                      <w:i/>
                      <w:iCs/>
                      <w:color w:val="FFFFFF"/>
                    </w:rPr>
                    <w:t>l</w:t>
                  </w:r>
                </w:p>
              </w:tc>
            </w:tr>
            <w:tr w:rsidR="00000000">
              <w:trPr>
                <w:trHeight w:val="220"/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003366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00000" w:rsidRDefault="00003581">
                  <w:pPr>
                    <w:spacing w:before="100" w:beforeAutospacing="1" w:line="220" w:lineRule="atLeast"/>
                  </w:pPr>
                  <w:r>
                    <w:rPr>
                      <w:color w:val="FFFFFF"/>
                    </w:rPr>
                    <w:t xml:space="preserve">Source : Insee - Enquête emploi du temps. Année des données </w:t>
                  </w:r>
                  <w:r>
                    <w:rPr>
                      <w:color w:val="FFFFFF"/>
                    </w:rPr>
                    <w:t>: 1999, couples dont les deux conjoints sont salarié</w:t>
                  </w:r>
                  <w:r>
                    <w:rPr>
                      <w:color w:val="FFFFFF"/>
                    </w:rPr>
                    <w:t>s</w:t>
                  </w:r>
                </w:p>
              </w:tc>
            </w:tr>
          </w:tbl>
          <w:p w:rsidR="00000000" w:rsidRDefault="00003581">
            <w:pPr>
              <w:spacing w:before="100" w:beforeAutospacing="1"/>
            </w:pPr>
            <w:r>
              <w:t> </w:t>
            </w:r>
          </w:p>
        </w:tc>
      </w:tr>
    </w:tbl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t>Questions :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numPr>
          <w:ilvl w:val="0"/>
          <w:numId w:val="11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Faites une phrase de lecture avec les chiffres soulignés.</w:t>
      </w:r>
    </w:p>
    <w:p w:rsidR="00000000" w:rsidRDefault="00003581">
      <w:pPr>
        <w:ind w:left="360"/>
        <w:jc w:val="both"/>
      </w:pPr>
      <w:r>
        <w:t> </w:t>
      </w:r>
    </w:p>
    <w:p w:rsidR="00000000" w:rsidRDefault="00003581">
      <w:pPr>
        <w:spacing w:before="100" w:beforeAutospacing="1"/>
      </w:pPr>
      <w:r>
        <w:rPr>
          <w:rFonts w:ascii="Wingdings" w:hAnsi="Wingdings"/>
          <w:b/>
          <w:bCs/>
        </w:rPr>
        <w:t></w:t>
      </w:r>
      <w:r>
        <w:rPr>
          <w:b/>
          <w:bCs/>
        </w:rPr>
        <w:t>Pour toute phrase de lecture d’une donnée chiffrée, vous devez préciser 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Image 3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La </w:t>
            </w:r>
            <w:r>
              <w:rPr>
                <w:rFonts w:eastAsia="Times New Roman"/>
                <w:b/>
                <w:bCs/>
                <w:u w:val="single"/>
              </w:rPr>
              <w:t>source</w:t>
            </w:r>
            <w:r>
              <w:rPr>
                <w:rFonts w:eastAsia="Times New Roman"/>
                <w:b/>
                <w:bCs/>
              </w:rPr>
              <w:t xml:space="preserve"> (la source peut vous donner une indication sur la crédibilité du document, nous pouvons plus faire confiance à des chiffres venant de l’INSEE qu’à des chiffres venant de Gala par exemp</w:t>
            </w:r>
            <w:r>
              <w:rPr>
                <w:rFonts w:eastAsia="Times New Roman"/>
                <w:b/>
                <w:bCs/>
              </w:rPr>
              <w:t>le</w:t>
            </w:r>
            <w:r>
              <w:rPr>
                <w:rFonts w:eastAsia="Times New Roman"/>
                <w:b/>
                <w:bCs/>
              </w:rPr>
              <w:t>)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Image 4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La </w:t>
            </w:r>
            <w:r>
              <w:rPr>
                <w:rFonts w:eastAsia="Times New Roman"/>
                <w:b/>
                <w:bCs/>
                <w:u w:val="single"/>
              </w:rPr>
              <w:t>dat</w:t>
            </w:r>
            <w:r>
              <w:rPr>
                <w:rFonts w:eastAsia="Times New Roman"/>
                <w:b/>
                <w:bCs/>
                <w:u w:val="single"/>
              </w:rPr>
              <w:t>e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Image 5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Le </w:t>
            </w:r>
            <w:r>
              <w:rPr>
                <w:rFonts w:eastAsia="Times New Roman"/>
                <w:b/>
                <w:bCs/>
                <w:u w:val="single"/>
              </w:rPr>
              <w:t>lie</w:t>
            </w:r>
            <w:r>
              <w:rPr>
                <w:rFonts w:eastAsia="Times New Roman"/>
                <w:b/>
                <w:bCs/>
                <w:u w:val="single"/>
              </w:rPr>
              <w:t>u</w:t>
            </w:r>
          </w:p>
        </w:tc>
      </w:tr>
      <w:tr w:rsidR="00000000">
        <w:trPr>
          <w:tblCellSpacing w:w="0" w:type="dxa"/>
        </w:trPr>
        <w:tc>
          <w:tcPr>
            <w:tcW w:w="630" w:type="dxa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Image 6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00000" w:rsidRDefault="0000358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L’</w:t>
            </w:r>
            <w:r>
              <w:rPr>
                <w:rFonts w:eastAsia="Times New Roman"/>
                <w:b/>
                <w:bCs/>
                <w:u w:val="single"/>
              </w:rPr>
              <w:t>unit</w:t>
            </w:r>
            <w:r>
              <w:rPr>
                <w:rFonts w:eastAsia="Times New Roman"/>
                <w:b/>
                <w:bCs/>
                <w:u w:val="single"/>
              </w:rPr>
              <w:t>é</w:t>
            </w:r>
          </w:p>
        </w:tc>
      </w:tr>
    </w:tbl>
    <w:p w:rsidR="00000000" w:rsidRDefault="00003581">
      <w:pPr>
        <w:spacing w:before="100" w:beforeAutospacing="1"/>
      </w:pPr>
      <w:r>
        <w:t> </w:t>
      </w:r>
    </w:p>
    <w:p w:rsidR="00000000" w:rsidRDefault="00003581">
      <w:pPr>
        <w:numPr>
          <w:ilvl w:val="0"/>
          <w:numId w:val="12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 peut-on dire de la répartition des tâches domestiques entre hommes et femmes ?</w:t>
      </w:r>
    </w:p>
    <w:p w:rsidR="00000000" w:rsidRDefault="00003581">
      <w:pPr>
        <w:rPr>
          <w:rFonts w:eastAsia="Times New Roman"/>
        </w:rPr>
      </w:pPr>
      <w:r>
        <w:rPr>
          <w:rFonts w:eastAsia="Times New Roman"/>
        </w:rPr>
        <w:br w:type="page"/>
        <w:t> </w:t>
      </w:r>
    </w:p>
    <w:p w:rsidR="00000000" w:rsidRDefault="00003581">
      <w:pPr>
        <w:numPr>
          <w:ilvl w:val="1"/>
          <w:numId w:val="13"/>
        </w:numPr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  <w:b/>
          <w:bCs/>
        </w:rPr>
        <w:t>… selon la famille d'où l'on vient (i.e. selon le milieu social) ?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rPr>
          <w:b/>
          <w:bCs/>
          <w:u w:val="single"/>
        </w:rPr>
        <w:t>Doc. 10</w:t>
      </w:r>
      <w:r>
        <w:rPr>
          <w:b/>
          <w:bCs/>
        </w:rPr>
        <w:t xml:space="preserve"> </w:t>
      </w:r>
      <w:r>
        <w:t xml:space="preserve">: </w:t>
      </w:r>
      <w:r>
        <w:rPr>
          <w:i/>
          <w:iCs/>
        </w:rPr>
        <w:t>Neuilly sa mère</w:t>
      </w:r>
      <w:r>
        <w:t xml:space="preserve">, réalisé par Gabriel Julien-Laferrière (2008) : extrait de la bande annonce </w:t>
      </w:r>
      <w:r>
        <w:rPr>
          <w:i/>
          <w:iCs/>
        </w:rPr>
        <w:t>[1'11]</w:t>
      </w:r>
      <w:r>
        <w:t>.</w:t>
      </w:r>
    </w:p>
    <w:p w:rsidR="00000000" w:rsidRDefault="00003581">
      <w:pPr>
        <w:spacing w:before="120"/>
        <w:jc w:val="both"/>
      </w:pPr>
      <w:r>
        <w:t>Questions :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Où Sami habite-t-il avec sa maman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Où va-t-il désormais vivre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Comment les adolescents sont-ils habillés au tout début de la bande annonce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Comment Sami est-il habillé quand il arrive chez sa tante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 parti politique le cousin de Sami soutient-il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 reproche-t-on à Sami lorsqu'il est à table ?</w:t>
      </w:r>
    </w:p>
    <w:p w:rsidR="00000000" w:rsidRDefault="00003581">
      <w:pPr>
        <w:numPr>
          <w:ilvl w:val="0"/>
          <w:numId w:val="14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 reproche-t-on à sa cousine ?</w:t>
      </w:r>
    </w:p>
    <w:p w:rsidR="00000000" w:rsidRDefault="00003581">
      <w:pPr>
        <w:numPr>
          <w:ilvl w:val="0"/>
          <w:numId w:val="15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Résumez : Sur quels éléments portent les différences de socia</w:t>
      </w:r>
      <w:r>
        <w:rPr>
          <w:rFonts w:eastAsia="Times New Roman"/>
        </w:rPr>
        <w:t>lisation entre le milieu d'origine de Sami et celui de sa tante ?</w:t>
      </w:r>
    </w:p>
    <w:p w:rsidR="00000000" w:rsidRDefault="00003581">
      <w:pPr>
        <w:spacing w:before="100" w:beforeAutospacing="1"/>
        <w:jc w:val="both"/>
      </w:pPr>
      <w:r>
        <w:t> </w:t>
      </w:r>
    </w:p>
    <w:p w:rsidR="00000000" w:rsidRDefault="00003581">
      <w:pPr>
        <w:spacing w:before="100" w:beforeAutospacing="1"/>
        <w:jc w:val="both"/>
      </w:pPr>
      <w:r>
        <w:rPr>
          <w:b/>
          <w:bCs/>
          <w:u w:val="single"/>
        </w:rPr>
        <w:t>Doc. 11</w:t>
      </w:r>
      <w:r>
        <w:rPr>
          <w:b/>
          <w:bCs/>
        </w:rPr>
        <w:t xml:space="preserve"> </w:t>
      </w:r>
      <w:r>
        <w:t xml:space="preserve">: </w:t>
      </w:r>
      <w:r>
        <w:rPr>
          <w:i/>
          <w:iCs/>
        </w:rPr>
        <w:t>Entre les murs</w:t>
      </w:r>
      <w:r>
        <w:t xml:space="preserve">, réalisé par Laurent Cantet (2008) : bande annonce </w:t>
      </w:r>
      <w:r>
        <w:rPr>
          <w:i/>
          <w:iCs/>
        </w:rPr>
        <w:t>[1'59]</w:t>
      </w:r>
      <w:r>
        <w:t>.</w:t>
      </w:r>
    </w:p>
    <w:p w:rsidR="00000000" w:rsidRDefault="00003581">
      <w:pPr>
        <w:spacing w:before="120"/>
        <w:jc w:val="both"/>
      </w:pPr>
      <w:r>
        <w:t>Questions :</w:t>
      </w:r>
    </w:p>
    <w:p w:rsidR="00000000" w:rsidRDefault="00003581">
      <w:pPr>
        <w:numPr>
          <w:ilvl w:val="0"/>
          <w:numId w:val="16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Où se déroule le film ?</w:t>
      </w:r>
    </w:p>
    <w:p w:rsidR="00000000" w:rsidRDefault="00003581">
      <w:pPr>
        <w:numPr>
          <w:ilvl w:val="0"/>
          <w:numId w:val="16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Au début de la bande annonce, sur quoi le professeur fait-il travail</w:t>
      </w:r>
      <w:r>
        <w:rPr>
          <w:rFonts w:eastAsia="Times New Roman"/>
        </w:rPr>
        <w:t>ler les élèves ?</w:t>
      </w:r>
    </w:p>
    <w:p w:rsidR="00000000" w:rsidRDefault="00003581">
      <w:pPr>
        <w:numPr>
          <w:ilvl w:val="0"/>
          <w:numId w:val="16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Pourquoi les élèves ont-ils des difficultés ?</w:t>
      </w:r>
    </w:p>
    <w:p w:rsidR="00003581" w:rsidRDefault="00003581">
      <w:pPr>
        <w:numPr>
          <w:ilvl w:val="0"/>
          <w:numId w:val="16"/>
        </w:num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eastAsia="Times New Roman"/>
        </w:rPr>
        <w:t>Quels sont les rôles de l'école qui sont montrés dans cette bande annonce ?</w:t>
      </w:r>
    </w:p>
    <w:sectPr w:rsidR="0000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CD8"/>
    <w:multiLevelType w:val="multilevel"/>
    <w:tmpl w:val="BFAA51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D172CC"/>
    <w:multiLevelType w:val="multilevel"/>
    <w:tmpl w:val="8A1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347DA"/>
    <w:multiLevelType w:val="multilevel"/>
    <w:tmpl w:val="6178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72733"/>
    <w:multiLevelType w:val="multilevel"/>
    <w:tmpl w:val="23CCB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4303"/>
    <w:multiLevelType w:val="multilevel"/>
    <w:tmpl w:val="3DF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11BF8"/>
    <w:multiLevelType w:val="multilevel"/>
    <w:tmpl w:val="6E844D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B583A5F"/>
    <w:multiLevelType w:val="multilevel"/>
    <w:tmpl w:val="22D0D8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9321C"/>
    <w:multiLevelType w:val="multilevel"/>
    <w:tmpl w:val="505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50A0"/>
    <w:multiLevelType w:val="multilevel"/>
    <w:tmpl w:val="894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836DF"/>
    <w:multiLevelType w:val="multilevel"/>
    <w:tmpl w:val="B3E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E3147"/>
    <w:multiLevelType w:val="multilevel"/>
    <w:tmpl w:val="605640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3C44084"/>
    <w:multiLevelType w:val="multilevel"/>
    <w:tmpl w:val="B918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31C8D"/>
    <w:multiLevelType w:val="multilevel"/>
    <w:tmpl w:val="2454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25955"/>
    <w:multiLevelType w:val="multilevel"/>
    <w:tmpl w:val="C2C6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25015"/>
    <w:multiLevelType w:val="multilevel"/>
    <w:tmpl w:val="17046E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DB72785"/>
    <w:multiLevelType w:val="multilevel"/>
    <w:tmpl w:val="C7BA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4668"/>
    <w:rsid w:val="00003581"/>
    <w:rsid w:val="00B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ranck\Desktop\s_e_s\_themes\ricepapr\ricebu1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Individus et Cultures</vt:lpstr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Individus et Cultures</dc:title>
  <dc:creator>Franck</dc:creator>
  <cp:lastModifiedBy>Franck</cp:lastModifiedBy>
  <cp:revision>2</cp:revision>
  <dcterms:created xsi:type="dcterms:W3CDTF">2015-05-02T16:15:00Z</dcterms:created>
  <dcterms:modified xsi:type="dcterms:W3CDTF">2015-05-02T16:15:00Z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