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71D" w:rsidRPr="0094071D" w:rsidRDefault="0094071D" w:rsidP="003A6AA4">
      <w:pPr>
        <w:shd w:val="clear" w:color="auto" w:fill="FFFFFF"/>
        <w:spacing w:before="120" w:after="432" w:line="240" w:lineRule="auto"/>
        <w:ind w:left="-567"/>
        <w:rPr>
          <w:rFonts w:ascii="Arial" w:eastAsia="Times New Roman" w:hAnsi="Arial" w:cs="Arial"/>
          <w:b/>
          <w:bCs/>
          <w:color w:val="AD1C72"/>
          <w:sz w:val="44"/>
          <w:szCs w:val="18"/>
          <w:lang w:eastAsia="fr-FR"/>
        </w:rPr>
      </w:pPr>
      <w:r w:rsidRPr="0094071D">
        <w:rPr>
          <w:rFonts w:ascii="Arial" w:eastAsia="Times New Roman" w:hAnsi="Arial" w:cs="Arial"/>
          <w:b/>
          <w:bCs/>
          <w:color w:val="AD1C72"/>
          <w:sz w:val="44"/>
          <w:szCs w:val="18"/>
          <w:lang w:eastAsia="fr-FR"/>
        </w:rPr>
        <w:t>Programme</w:t>
      </w:r>
      <w:r w:rsidRPr="003A6AA4">
        <w:rPr>
          <w:rFonts w:ascii="Arial" w:eastAsia="Times New Roman" w:hAnsi="Arial" w:cs="Arial"/>
          <w:b/>
          <w:bCs/>
          <w:color w:val="AD1C72"/>
          <w:sz w:val="44"/>
          <w:szCs w:val="18"/>
          <w:lang w:eastAsia="fr-FR"/>
        </w:rPr>
        <w:t xml:space="preserve"> de première ES</w:t>
      </w:r>
    </w:p>
    <w:tbl>
      <w:tblPr>
        <w:tblW w:w="10206" w:type="dxa"/>
        <w:tblInd w:w="-507" w:type="dxa"/>
        <w:shd w:val="clear" w:color="auto" w:fill="FDEEE9"/>
        <w:tblCellMar>
          <w:left w:w="0" w:type="dxa"/>
          <w:right w:w="0" w:type="dxa"/>
        </w:tblCellMar>
        <w:tblLook w:val="04A0" w:firstRow="1" w:lastRow="0" w:firstColumn="1" w:lastColumn="0" w:noHBand="0" w:noVBand="1"/>
      </w:tblPr>
      <w:tblGrid>
        <w:gridCol w:w="2399"/>
        <w:gridCol w:w="1965"/>
        <w:gridCol w:w="5842"/>
      </w:tblGrid>
      <w:tr w:rsidR="0094071D" w:rsidRPr="0094071D" w:rsidTr="0094071D">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94071D" w:rsidRPr="0094071D" w:rsidRDefault="0094071D" w:rsidP="0094071D">
            <w:pPr>
              <w:spacing w:after="0" w:line="240" w:lineRule="auto"/>
              <w:rPr>
                <w:rFonts w:ascii="Times New Roman" w:eastAsia="Times New Roman" w:hAnsi="Times New Roman" w:cs="Times New Roman"/>
                <w:color w:val="AD1C72"/>
                <w:sz w:val="18"/>
                <w:szCs w:val="18"/>
                <w:lang w:eastAsia="fr-FR"/>
              </w:rPr>
            </w:pPr>
            <w:r w:rsidRPr="0094071D">
              <w:rPr>
                <w:rFonts w:ascii="Times New Roman" w:eastAsia="Times New Roman" w:hAnsi="Times New Roman" w:cs="Times New Roman"/>
                <w:color w:val="AD1C72"/>
                <w:sz w:val="18"/>
                <w:szCs w:val="18"/>
                <w:lang w:eastAsia="fr-FR"/>
              </w:rPr>
              <w:t>Thèmes</w:t>
            </w:r>
          </w:p>
        </w:tc>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94071D" w:rsidRPr="0094071D" w:rsidRDefault="0094071D" w:rsidP="0094071D">
            <w:pPr>
              <w:spacing w:after="0" w:line="240" w:lineRule="auto"/>
              <w:rPr>
                <w:rFonts w:ascii="Times New Roman" w:eastAsia="Times New Roman" w:hAnsi="Times New Roman" w:cs="Times New Roman"/>
                <w:color w:val="AD1C72"/>
                <w:sz w:val="18"/>
                <w:szCs w:val="18"/>
                <w:lang w:eastAsia="fr-FR"/>
              </w:rPr>
            </w:pPr>
            <w:r w:rsidRPr="0094071D">
              <w:rPr>
                <w:rFonts w:ascii="Times New Roman" w:eastAsia="Times New Roman" w:hAnsi="Times New Roman" w:cs="Times New Roman"/>
                <w:color w:val="AD1C72"/>
                <w:sz w:val="18"/>
                <w:szCs w:val="18"/>
                <w:lang w:eastAsia="fr-FR"/>
              </w:rPr>
              <w:t>Notions</w:t>
            </w:r>
          </w:p>
        </w:tc>
        <w:tc>
          <w:tcPr>
            <w:tcW w:w="5842"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94071D" w:rsidRPr="0094071D" w:rsidRDefault="0094071D" w:rsidP="0094071D">
            <w:pPr>
              <w:spacing w:after="0" w:line="240" w:lineRule="auto"/>
              <w:rPr>
                <w:rFonts w:ascii="Times New Roman" w:eastAsia="Times New Roman" w:hAnsi="Times New Roman" w:cs="Times New Roman"/>
                <w:color w:val="AD1C72"/>
                <w:sz w:val="18"/>
                <w:szCs w:val="18"/>
                <w:lang w:eastAsia="fr-FR"/>
              </w:rPr>
            </w:pPr>
            <w:r w:rsidRPr="0094071D">
              <w:rPr>
                <w:rFonts w:ascii="Times New Roman" w:eastAsia="Times New Roman" w:hAnsi="Times New Roman" w:cs="Times New Roman"/>
                <w:color w:val="AD1C72"/>
                <w:sz w:val="18"/>
                <w:szCs w:val="18"/>
                <w:lang w:eastAsia="fr-FR"/>
              </w:rPr>
              <w:t>Indications complémentaires</w:t>
            </w:r>
          </w:p>
        </w:tc>
      </w:tr>
      <w:tr w:rsidR="0094071D" w:rsidRPr="0094071D" w:rsidTr="0094071D">
        <w:tc>
          <w:tcPr>
            <w:tcW w:w="10206" w:type="dxa"/>
            <w:gridSpan w:val="3"/>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b/>
                <w:sz w:val="28"/>
                <w:szCs w:val="18"/>
                <w:lang w:eastAsia="fr-FR"/>
              </w:rPr>
            </w:pPr>
            <w:r w:rsidRPr="0094071D">
              <w:rPr>
                <w:rFonts w:ascii="Times New Roman" w:eastAsia="Times New Roman" w:hAnsi="Times New Roman" w:cs="Times New Roman"/>
                <w:b/>
                <w:sz w:val="28"/>
                <w:szCs w:val="18"/>
                <w:lang w:eastAsia="fr-FR"/>
              </w:rPr>
              <w:t>Science économique (Durée indicative : 90 heures)</w:t>
            </w:r>
          </w:p>
        </w:tc>
      </w:tr>
      <w:tr w:rsidR="0094071D" w:rsidRPr="0094071D" w:rsidTr="0094071D">
        <w:tc>
          <w:tcPr>
            <w:tcW w:w="10206" w:type="dxa"/>
            <w:gridSpan w:val="3"/>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b/>
                <w:bCs/>
                <w:sz w:val="18"/>
                <w:szCs w:val="18"/>
                <w:lang w:eastAsia="fr-FR"/>
              </w:rPr>
              <w:t>1. Les grandes questions que se posent les économistes</w:t>
            </w:r>
          </w:p>
        </w:tc>
      </w:tr>
      <w:tr w:rsidR="0094071D" w:rsidRPr="0094071D" w:rsidTr="0094071D">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b/>
                <w:bCs/>
                <w:sz w:val="18"/>
                <w:szCs w:val="18"/>
                <w:lang w:eastAsia="fr-FR"/>
              </w:rPr>
              <w:t>1.1 Dans un monde aux ressources limitées, comment faire des choix ?</w:t>
            </w:r>
          </w:p>
        </w:tc>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Utilité,</w:t>
            </w:r>
          </w:p>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contrainte budgétaire,</w:t>
            </w:r>
          </w:p>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prix relatif</w:t>
            </w:r>
          </w:p>
        </w:tc>
        <w:tc>
          <w:tcPr>
            <w:tcW w:w="5842"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À partir d'exemples simples (choix de forfaits téléphoniques, formule « à volonté » dans la restauration, utilité de l'eau dans divers environnements, etc.), on introduira les notions de rareté et d'utilité marginale, en insistant sur la subjectivité des goûts. On s'appuiera sur une représentation graphique simple de la contrainte budgétaire pour caractériser les principaux déterminants des choix, sans évoquer les courbes d'indifférence. Il s'agit d'illustrer la démarche de l'économiste qui modélise des situations dans lesquelles les individus sont confrontés à la nécessité de faire des choix de consommation ou d'usage de leur temps (par exemple).</w:t>
            </w:r>
          </w:p>
        </w:tc>
      </w:tr>
      <w:tr w:rsidR="0094071D" w:rsidRPr="0094071D" w:rsidTr="0094071D">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b/>
                <w:bCs/>
                <w:sz w:val="18"/>
                <w:szCs w:val="18"/>
                <w:lang w:eastAsia="fr-FR"/>
              </w:rPr>
              <w:t>1.2 Que produit-on et comment le mesure-t-on ?</w:t>
            </w:r>
          </w:p>
        </w:tc>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Production marchande et non marchande, valeur ajoutée</w:t>
            </w:r>
          </w:p>
        </w:tc>
        <w:tc>
          <w:tcPr>
            <w:tcW w:w="5842"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On sensibilisera les élèves à la diversité des modes de production des biens et services et de leur mise à la disposition des consommateurs. On s'intéressera aux problèmes posés par la mesure de la valeur ajoutée.</w:t>
            </w:r>
          </w:p>
        </w:tc>
      </w:tr>
      <w:tr w:rsidR="0094071D" w:rsidRPr="0094071D" w:rsidTr="0094071D">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b/>
                <w:bCs/>
                <w:sz w:val="18"/>
                <w:szCs w:val="18"/>
                <w:lang w:eastAsia="fr-FR"/>
              </w:rPr>
              <w:t>1.3 Comment répartir les revenus et la richesse ?</w:t>
            </w:r>
          </w:p>
        </w:tc>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Salaire, profit, revenus de transfert</w:t>
            </w:r>
          </w:p>
        </w:tc>
        <w:tc>
          <w:tcPr>
            <w:tcW w:w="5842"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La production engendre des revenus qui sont répartis entre les agents qui y contribuent par leur travail ou leur apport en capital. On introduira la distinction entre cette répartition primaire des revenus et la répartition secondaire qui résulte des effets de la redistribution.</w:t>
            </w:r>
          </w:p>
        </w:tc>
      </w:tr>
      <w:tr w:rsidR="0094071D" w:rsidRPr="0094071D" w:rsidTr="0094071D">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b/>
                <w:bCs/>
                <w:sz w:val="18"/>
                <w:szCs w:val="18"/>
                <w:lang w:eastAsia="fr-FR"/>
              </w:rPr>
              <w:t>1.4 Quels sont les grands équilibres macroéconomiques ?</w:t>
            </w:r>
          </w:p>
        </w:tc>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Équilibre emplois/ressources</w:t>
            </w:r>
          </w:p>
        </w:tc>
        <w:tc>
          <w:tcPr>
            <w:tcW w:w="5842"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La mesure et l'analyse de l'activité d'une économie nationale et de ses principales composantes seront présentées simplement. On présentera l'équilibre emplois-ressources, en économie ouverte, et on pourra évoquer les sources de possibles déséquilibres.</w:t>
            </w:r>
          </w:p>
        </w:tc>
      </w:tr>
    </w:tbl>
    <w:p w:rsidR="0094071D" w:rsidRPr="0094071D" w:rsidRDefault="0094071D" w:rsidP="0094071D">
      <w:pPr>
        <w:shd w:val="clear" w:color="auto" w:fill="FFFFFF"/>
        <w:spacing w:after="0" w:line="240" w:lineRule="auto"/>
        <w:rPr>
          <w:rFonts w:ascii="Arial" w:eastAsia="Times New Roman" w:hAnsi="Arial" w:cs="Arial"/>
          <w:color w:val="000000"/>
          <w:sz w:val="18"/>
          <w:szCs w:val="18"/>
          <w:lang w:eastAsia="fr-FR"/>
        </w:rPr>
      </w:pPr>
      <w:r w:rsidRPr="0094071D">
        <w:rPr>
          <w:rFonts w:ascii="Arial" w:eastAsia="Times New Roman" w:hAnsi="Arial" w:cs="Arial"/>
          <w:color w:val="000000"/>
          <w:sz w:val="18"/>
          <w:szCs w:val="18"/>
          <w:lang w:eastAsia="fr-FR"/>
        </w:rPr>
        <w:t> </w:t>
      </w:r>
    </w:p>
    <w:tbl>
      <w:tblPr>
        <w:tblW w:w="10206" w:type="dxa"/>
        <w:tblInd w:w="-507" w:type="dxa"/>
        <w:shd w:val="clear" w:color="auto" w:fill="FDEEE9"/>
        <w:tblCellMar>
          <w:left w:w="0" w:type="dxa"/>
          <w:right w:w="0" w:type="dxa"/>
        </w:tblCellMar>
        <w:tblLook w:val="04A0" w:firstRow="1" w:lastRow="0" w:firstColumn="1" w:lastColumn="0" w:noHBand="0" w:noVBand="1"/>
      </w:tblPr>
      <w:tblGrid>
        <w:gridCol w:w="2093"/>
        <w:gridCol w:w="2530"/>
        <w:gridCol w:w="5583"/>
      </w:tblGrid>
      <w:tr w:rsidR="0094071D" w:rsidRPr="0094071D" w:rsidTr="0094071D">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color w:val="AD1C72"/>
                <w:sz w:val="18"/>
                <w:szCs w:val="18"/>
                <w:lang w:eastAsia="fr-FR"/>
              </w:rPr>
              <w:t>Thèmes</w:t>
            </w:r>
          </w:p>
        </w:tc>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94071D" w:rsidRPr="0094071D" w:rsidRDefault="0094071D" w:rsidP="0094071D">
            <w:pPr>
              <w:spacing w:after="0" w:line="240" w:lineRule="auto"/>
              <w:rPr>
                <w:rFonts w:ascii="Times New Roman" w:eastAsia="Times New Roman" w:hAnsi="Times New Roman" w:cs="Times New Roman"/>
                <w:color w:val="AD1C72"/>
                <w:sz w:val="18"/>
                <w:szCs w:val="18"/>
                <w:lang w:eastAsia="fr-FR"/>
              </w:rPr>
            </w:pPr>
            <w:r w:rsidRPr="0094071D">
              <w:rPr>
                <w:rFonts w:ascii="Times New Roman" w:eastAsia="Times New Roman" w:hAnsi="Times New Roman" w:cs="Times New Roman"/>
                <w:color w:val="AD1C72"/>
                <w:sz w:val="18"/>
                <w:szCs w:val="18"/>
                <w:lang w:eastAsia="fr-FR"/>
              </w:rPr>
              <w:t>Notions</w:t>
            </w:r>
          </w:p>
        </w:tc>
        <w:tc>
          <w:tcPr>
            <w:tcW w:w="5583"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94071D" w:rsidRPr="0094071D" w:rsidRDefault="0094071D" w:rsidP="0094071D">
            <w:pPr>
              <w:spacing w:after="0" w:line="240" w:lineRule="auto"/>
              <w:rPr>
                <w:rFonts w:ascii="Times New Roman" w:eastAsia="Times New Roman" w:hAnsi="Times New Roman" w:cs="Times New Roman"/>
                <w:color w:val="AD1C72"/>
                <w:sz w:val="18"/>
                <w:szCs w:val="18"/>
                <w:lang w:eastAsia="fr-FR"/>
              </w:rPr>
            </w:pPr>
            <w:r w:rsidRPr="0094071D">
              <w:rPr>
                <w:rFonts w:ascii="Times New Roman" w:eastAsia="Times New Roman" w:hAnsi="Times New Roman" w:cs="Times New Roman"/>
                <w:color w:val="AD1C72"/>
                <w:sz w:val="18"/>
                <w:szCs w:val="18"/>
                <w:lang w:eastAsia="fr-FR"/>
              </w:rPr>
              <w:t>Indications complémentaires</w:t>
            </w:r>
          </w:p>
        </w:tc>
      </w:tr>
      <w:tr w:rsidR="0094071D" w:rsidRPr="0094071D" w:rsidTr="0094071D">
        <w:tc>
          <w:tcPr>
            <w:tcW w:w="10206" w:type="dxa"/>
            <w:gridSpan w:val="3"/>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b/>
                <w:bCs/>
                <w:sz w:val="18"/>
                <w:szCs w:val="18"/>
                <w:lang w:eastAsia="fr-FR"/>
              </w:rPr>
              <w:t>2. La production dans l'entreprise</w:t>
            </w:r>
          </w:p>
        </w:tc>
      </w:tr>
      <w:tr w:rsidR="0094071D" w:rsidRPr="0094071D" w:rsidTr="0094071D">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b/>
                <w:bCs/>
                <w:sz w:val="18"/>
                <w:szCs w:val="18"/>
                <w:lang w:eastAsia="fr-FR"/>
              </w:rPr>
              <w:t>2.1 Comment l'entreprise produit-elle ?</w:t>
            </w:r>
          </w:p>
        </w:tc>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Facteurs de production,</w:t>
            </w:r>
          </w:p>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coûts (total, moyen et marginal), recettes (totale, moyenne, marginale), productivité, loi des rendements décroissants</w:t>
            </w:r>
          </w:p>
        </w:tc>
        <w:tc>
          <w:tcPr>
            <w:tcW w:w="5583"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Après avoir présenté la diversité des entreprises, on montrera que les choix du producteur portent à la fois sur la combinaison des facteurs de production et sur le volume de la production. On introduira les notions clés de l'analyse de la production de l'entreprise, notamment la loi des rendements décroissants.</w:t>
            </w:r>
          </w:p>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On montrera l'utilité pour l'entreprise d'instruments de suivi de son activité et de ses résultats en présentant une structure simplifiée du compte de résultat et du bilan.</w:t>
            </w:r>
          </w:p>
        </w:tc>
      </w:tr>
      <w:tr w:rsidR="0094071D" w:rsidRPr="0094071D" w:rsidTr="0094071D">
        <w:tc>
          <w:tcPr>
            <w:tcW w:w="10206" w:type="dxa"/>
            <w:gridSpan w:val="3"/>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b/>
                <w:bCs/>
                <w:sz w:val="18"/>
                <w:szCs w:val="18"/>
                <w:lang w:eastAsia="fr-FR"/>
              </w:rPr>
              <w:t> </w:t>
            </w:r>
          </w:p>
        </w:tc>
      </w:tr>
      <w:tr w:rsidR="0094071D" w:rsidRPr="0094071D" w:rsidTr="0094071D">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94071D" w:rsidRPr="0094071D" w:rsidRDefault="0094071D" w:rsidP="0094071D">
            <w:pPr>
              <w:spacing w:after="0" w:line="240" w:lineRule="auto"/>
              <w:rPr>
                <w:rFonts w:ascii="Times New Roman" w:eastAsia="Times New Roman" w:hAnsi="Times New Roman" w:cs="Times New Roman"/>
                <w:color w:val="AD1C72"/>
                <w:sz w:val="18"/>
                <w:szCs w:val="18"/>
                <w:lang w:eastAsia="fr-FR"/>
              </w:rPr>
            </w:pPr>
            <w:r w:rsidRPr="0094071D">
              <w:rPr>
                <w:rFonts w:ascii="Times New Roman" w:eastAsia="Times New Roman" w:hAnsi="Times New Roman" w:cs="Times New Roman"/>
                <w:color w:val="AD1C72"/>
                <w:sz w:val="18"/>
                <w:szCs w:val="18"/>
                <w:lang w:eastAsia="fr-FR"/>
              </w:rPr>
              <w:t>Thèmes</w:t>
            </w:r>
          </w:p>
        </w:tc>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94071D" w:rsidRPr="0094071D" w:rsidRDefault="0094071D" w:rsidP="0094071D">
            <w:pPr>
              <w:spacing w:after="0" w:line="240" w:lineRule="auto"/>
              <w:rPr>
                <w:rFonts w:ascii="Times New Roman" w:eastAsia="Times New Roman" w:hAnsi="Times New Roman" w:cs="Times New Roman"/>
                <w:color w:val="AD1C72"/>
                <w:sz w:val="18"/>
                <w:szCs w:val="18"/>
                <w:lang w:eastAsia="fr-FR"/>
              </w:rPr>
            </w:pPr>
            <w:r w:rsidRPr="0094071D">
              <w:rPr>
                <w:rFonts w:ascii="Times New Roman" w:eastAsia="Times New Roman" w:hAnsi="Times New Roman" w:cs="Times New Roman"/>
                <w:color w:val="AD1C72"/>
                <w:sz w:val="18"/>
                <w:szCs w:val="18"/>
                <w:lang w:eastAsia="fr-FR"/>
              </w:rPr>
              <w:t>Notions</w:t>
            </w:r>
          </w:p>
        </w:tc>
        <w:tc>
          <w:tcPr>
            <w:tcW w:w="5583"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94071D" w:rsidRPr="0094071D" w:rsidRDefault="0094071D" w:rsidP="0094071D">
            <w:pPr>
              <w:spacing w:after="0" w:line="240" w:lineRule="auto"/>
              <w:rPr>
                <w:rFonts w:ascii="Times New Roman" w:eastAsia="Times New Roman" w:hAnsi="Times New Roman" w:cs="Times New Roman"/>
                <w:color w:val="AD1C72"/>
                <w:sz w:val="18"/>
                <w:szCs w:val="18"/>
                <w:lang w:eastAsia="fr-FR"/>
              </w:rPr>
            </w:pPr>
            <w:r w:rsidRPr="0094071D">
              <w:rPr>
                <w:rFonts w:ascii="Times New Roman" w:eastAsia="Times New Roman" w:hAnsi="Times New Roman" w:cs="Times New Roman"/>
                <w:color w:val="AD1C72"/>
                <w:sz w:val="18"/>
                <w:szCs w:val="18"/>
                <w:lang w:eastAsia="fr-FR"/>
              </w:rPr>
              <w:t>Indications complémentaires</w:t>
            </w:r>
          </w:p>
        </w:tc>
      </w:tr>
      <w:tr w:rsidR="0094071D" w:rsidRPr="0094071D" w:rsidTr="0094071D">
        <w:tc>
          <w:tcPr>
            <w:tcW w:w="10206" w:type="dxa"/>
            <w:gridSpan w:val="3"/>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b/>
                <w:bCs/>
                <w:sz w:val="18"/>
                <w:szCs w:val="18"/>
                <w:lang w:eastAsia="fr-FR"/>
              </w:rPr>
              <w:t>3. La coordination par le marché</w:t>
            </w:r>
          </w:p>
        </w:tc>
      </w:tr>
      <w:tr w:rsidR="0094071D" w:rsidRPr="0094071D" w:rsidTr="0094071D">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b/>
                <w:bCs/>
                <w:sz w:val="18"/>
                <w:szCs w:val="18"/>
                <w:lang w:eastAsia="fr-FR"/>
              </w:rPr>
              <w:t>3.1 Qu'est-ce qu'un marché ?</w:t>
            </w:r>
          </w:p>
        </w:tc>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Institutions marchandes, droits de propriété</w:t>
            </w:r>
          </w:p>
        </w:tc>
        <w:tc>
          <w:tcPr>
            <w:tcW w:w="5583"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On présentera la diversité des marchés concrets (depuis les foires du Moyen Âge jusqu'aux achats en ligne ; les marchés des biens, des services, des actifs, du travail, etc.). On montrera que le fonctionnement des marchés nécessite des règles de droit, qui déterminent notamment qui possède quoi, et ce qui peut être ou non échangé. On montrera que le marché suppose notamment l'existence d'institutions et de conventions (par exemple, marchandage, achat à l'unité ou en nombre, enchères, etc.). On expliquera en quoi les droits de propriété (y compris les droits d'auteur, brevets, marques, etc.) sont au fondement de l'échange. On s'interrogera sur les limites de l'échange marchand (existence de commerces illicites, brevetabilité du vivant, interdiction du commerce d'organes, etc.).</w:t>
            </w:r>
          </w:p>
        </w:tc>
      </w:tr>
      <w:tr w:rsidR="0094071D" w:rsidRPr="0094071D" w:rsidTr="0094071D">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b/>
                <w:bCs/>
                <w:sz w:val="18"/>
                <w:szCs w:val="18"/>
                <w:lang w:eastAsia="fr-FR"/>
              </w:rPr>
              <w:t>3.2 Comment un marché concurrentiel fonctionne-t-il ?</w:t>
            </w:r>
          </w:p>
        </w:tc>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Offre et demande, prix et quantité d'équilibre, preneur de prix, rationnement, surplus, gains à l'échange, allocation des ressources</w:t>
            </w:r>
          </w:p>
        </w:tc>
        <w:tc>
          <w:tcPr>
            <w:tcW w:w="5583"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 xml:space="preserve">On s'attachera à mettre en évidence les déterminants des comportements des agents, offreurs et demandeurs, puis on procédera à la construction des courbes d'offre et de demande et à l'analyse de la formation de l'équilibre sur un marché de type concurrentiel. La modification des conditions d'offre ou de demande permettra de montrer comment s'ajustent, dans le temps, prix et quantités d'équilibre. On étudiera les réactions de l'acheteur aux changements des incitations (augmentation du prix du tabac, de la fiscalité sur les carburants, prime à la casse sur le marché de l'automobile, etc.). </w:t>
            </w:r>
            <w:r w:rsidRPr="0094071D">
              <w:rPr>
                <w:rFonts w:ascii="Times New Roman" w:eastAsia="Times New Roman" w:hAnsi="Times New Roman" w:cs="Times New Roman"/>
                <w:sz w:val="18"/>
                <w:szCs w:val="18"/>
                <w:lang w:eastAsia="fr-FR"/>
              </w:rPr>
              <w:lastRenderedPageBreak/>
              <w:t>L'étude de la notion de surplus et de son partage entre acheteurs et vendeurs permettra d'illustrer graphiquement les gains de l'échange. On fera apparaître l'existence de situations de rationnement lorsque le prix est fixé, quelle qu'en soit la raison, à un autre niveau que celui qui équilibre le marché (files d'attente, réglementation des loyers, pénuries de places pour des rencontres sportives ou les spectacles, etc.).</w:t>
            </w:r>
          </w:p>
        </w:tc>
      </w:tr>
      <w:tr w:rsidR="0094071D" w:rsidRPr="0094071D" w:rsidTr="0094071D">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b/>
                <w:bCs/>
                <w:sz w:val="18"/>
                <w:szCs w:val="18"/>
                <w:lang w:eastAsia="fr-FR"/>
              </w:rPr>
              <w:lastRenderedPageBreak/>
              <w:t>3.3. Comment les marchés imparfaitement concurrentiels fonctionnent-ils ?</w:t>
            </w:r>
          </w:p>
        </w:tc>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Pouvoir de marché, oligopole, monopole</w:t>
            </w:r>
          </w:p>
        </w:tc>
        <w:tc>
          <w:tcPr>
            <w:tcW w:w="5583"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On soulignera le caractère très particulier du marché concurrentiel et on introduira la notion de structures de marché. Sans aucun recours à la formalisation et à l'aide d'exemples (monopole dans le domaine de l'électricité ou du transport, situations de concurrence monopolistique engendrées par l'innovation ou la différentiation des produits, oligopoles dans les domaines de l'automobile, des composants électroniques, etc.), on montrera que les vendeurs mettent en œuvre des stratégies susceptibles de renforcer leur pouvoir de marché (positionnement et marketing des produits, ententes entre vendeurs, guerres de prix, création de demande captive, etc.). On pourra s'interroger sur les conditions favorisant ces structures non concurrentielles et sur le rôle des pouvoirs publics dans la régulation de la concurrence.</w:t>
            </w:r>
          </w:p>
        </w:tc>
      </w:tr>
      <w:tr w:rsidR="0094071D" w:rsidRPr="0094071D" w:rsidTr="0094071D">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b/>
                <w:bCs/>
                <w:sz w:val="18"/>
                <w:szCs w:val="18"/>
                <w:lang w:eastAsia="fr-FR"/>
              </w:rPr>
              <w:t>3.4 Quelles sont les principales défaillances du marché ?</w:t>
            </w:r>
          </w:p>
        </w:tc>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Asymétries d'information, externalités, biens collectifs</w:t>
            </w:r>
          </w:p>
        </w:tc>
        <w:tc>
          <w:tcPr>
            <w:tcW w:w="5583"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On montrera qu'en situation d'information asymétrique, on constate l'existence d'équilibres avec rationnement voire l'absence de marché (marché des voitures d'occasion, marchés des professionnels de santé et des avocats, marché de l'assurance, etc.). Les diverses manières de produire et de diffuser de l'information - labellisation, publicité, comparateurs de prix, magazines de consommateurs, etc. - pourront être évoquées, de même que la réglementation publique sur l'information.</w:t>
            </w:r>
          </w:p>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En s'appuyant sur des exemples, on montrera aussi que les marchés peuvent être défaillants dans le domaine de l'allocation des ressources en présence de biens collectifs ou d'externalités (pollution, éclairage public, pollinisation par les abeilles, etc.).</w:t>
            </w:r>
          </w:p>
        </w:tc>
      </w:tr>
    </w:tbl>
    <w:p w:rsidR="0094071D" w:rsidRPr="0094071D" w:rsidRDefault="0094071D" w:rsidP="0094071D">
      <w:pPr>
        <w:shd w:val="clear" w:color="auto" w:fill="FFFFFF"/>
        <w:spacing w:after="0" w:line="240" w:lineRule="auto"/>
        <w:rPr>
          <w:rFonts w:ascii="Arial" w:eastAsia="Times New Roman" w:hAnsi="Arial" w:cs="Arial"/>
          <w:color w:val="000000"/>
          <w:sz w:val="18"/>
          <w:szCs w:val="18"/>
          <w:lang w:eastAsia="fr-FR"/>
        </w:rPr>
      </w:pPr>
      <w:r w:rsidRPr="0094071D">
        <w:rPr>
          <w:rFonts w:ascii="Arial" w:eastAsia="Times New Roman" w:hAnsi="Arial" w:cs="Arial"/>
          <w:color w:val="000000"/>
          <w:sz w:val="18"/>
          <w:szCs w:val="18"/>
          <w:lang w:eastAsia="fr-FR"/>
        </w:rPr>
        <w:t> </w:t>
      </w:r>
    </w:p>
    <w:tbl>
      <w:tblPr>
        <w:tblW w:w="10206" w:type="dxa"/>
        <w:tblInd w:w="-507" w:type="dxa"/>
        <w:shd w:val="clear" w:color="auto" w:fill="FDEEE9"/>
        <w:tblCellMar>
          <w:left w:w="0" w:type="dxa"/>
          <w:right w:w="0" w:type="dxa"/>
        </w:tblCellMar>
        <w:tblLook w:val="04A0" w:firstRow="1" w:lastRow="0" w:firstColumn="1" w:lastColumn="0" w:noHBand="0" w:noVBand="1"/>
      </w:tblPr>
      <w:tblGrid>
        <w:gridCol w:w="2471"/>
        <w:gridCol w:w="2363"/>
        <w:gridCol w:w="5372"/>
      </w:tblGrid>
      <w:tr w:rsidR="0094071D" w:rsidRPr="0094071D" w:rsidTr="0094071D">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color w:val="AD1C72"/>
                <w:sz w:val="18"/>
                <w:szCs w:val="18"/>
                <w:lang w:eastAsia="fr-FR"/>
              </w:rPr>
              <w:t>Thèmes</w:t>
            </w:r>
          </w:p>
        </w:tc>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94071D" w:rsidRPr="0094071D" w:rsidRDefault="0094071D" w:rsidP="0094071D">
            <w:pPr>
              <w:spacing w:after="0" w:line="240" w:lineRule="auto"/>
              <w:rPr>
                <w:rFonts w:ascii="Times New Roman" w:eastAsia="Times New Roman" w:hAnsi="Times New Roman" w:cs="Times New Roman"/>
                <w:color w:val="AD1C72"/>
                <w:sz w:val="18"/>
                <w:szCs w:val="18"/>
                <w:lang w:eastAsia="fr-FR"/>
              </w:rPr>
            </w:pPr>
            <w:r w:rsidRPr="0094071D">
              <w:rPr>
                <w:rFonts w:ascii="Times New Roman" w:eastAsia="Times New Roman" w:hAnsi="Times New Roman" w:cs="Times New Roman"/>
                <w:color w:val="AD1C72"/>
                <w:sz w:val="18"/>
                <w:szCs w:val="18"/>
                <w:lang w:eastAsia="fr-FR"/>
              </w:rPr>
              <w:t>Notions</w:t>
            </w:r>
          </w:p>
        </w:tc>
        <w:tc>
          <w:tcPr>
            <w:tcW w:w="5372"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color w:val="AD1C72"/>
                <w:sz w:val="18"/>
                <w:szCs w:val="18"/>
                <w:lang w:eastAsia="fr-FR"/>
              </w:rPr>
              <w:t>Indications complémentaires</w:t>
            </w:r>
          </w:p>
        </w:tc>
      </w:tr>
      <w:tr w:rsidR="0094071D" w:rsidRPr="0094071D" w:rsidTr="0094071D">
        <w:tc>
          <w:tcPr>
            <w:tcW w:w="10206" w:type="dxa"/>
            <w:gridSpan w:val="3"/>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b/>
                <w:bCs/>
                <w:sz w:val="18"/>
                <w:szCs w:val="18"/>
                <w:lang w:eastAsia="fr-FR"/>
              </w:rPr>
              <w:t>4. La monnaie et le financement</w:t>
            </w:r>
          </w:p>
        </w:tc>
      </w:tr>
      <w:tr w:rsidR="0094071D" w:rsidRPr="0094071D" w:rsidTr="0094071D">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b/>
                <w:bCs/>
                <w:sz w:val="18"/>
                <w:szCs w:val="18"/>
                <w:lang w:eastAsia="fr-FR"/>
              </w:rPr>
              <w:t>4.1 À</w:t>
            </w:r>
            <w:r w:rsidRPr="0094071D">
              <w:rPr>
                <w:rFonts w:ascii="Times New Roman" w:eastAsia="Times New Roman" w:hAnsi="Times New Roman" w:cs="Times New Roman"/>
                <w:sz w:val="18"/>
                <w:szCs w:val="18"/>
                <w:lang w:eastAsia="fr-FR"/>
              </w:rPr>
              <w:t> </w:t>
            </w:r>
            <w:r w:rsidRPr="0094071D">
              <w:rPr>
                <w:rFonts w:ascii="Times New Roman" w:eastAsia="Times New Roman" w:hAnsi="Times New Roman" w:cs="Times New Roman"/>
                <w:b/>
                <w:bCs/>
                <w:sz w:val="18"/>
                <w:szCs w:val="18"/>
                <w:lang w:eastAsia="fr-FR"/>
              </w:rPr>
              <w:t>quoi sert la monnaie ?</w:t>
            </w:r>
          </w:p>
        </w:tc>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Fonctions de la monnaie, formes de la monnaie</w:t>
            </w:r>
          </w:p>
        </w:tc>
        <w:tc>
          <w:tcPr>
            <w:tcW w:w="5372"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Par contraste avec des situations d'échange non monétisé, on mettra en évidence les avantages de la monnaie et les fonctions qu'elle remplit. On évoquera les formes qu'elle revêt et on expliquera (en prenant comme exemple le paiement par carte bancaire) comment fonctionnent les systèmes de paiement dématérialisés dans les économies contemporaines.</w:t>
            </w:r>
          </w:p>
        </w:tc>
      </w:tr>
      <w:tr w:rsidR="0094071D" w:rsidRPr="0094071D" w:rsidTr="0094071D">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b/>
                <w:bCs/>
                <w:sz w:val="18"/>
                <w:szCs w:val="18"/>
                <w:lang w:eastAsia="fr-FR"/>
              </w:rPr>
              <w:t>4.2 Comment l'activité économique est-elle financée ?</w:t>
            </w:r>
          </w:p>
        </w:tc>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Autofinancement, financement direct/indirect, taux d'intérêt, risque de crédit</w:t>
            </w:r>
          </w:p>
        </w:tc>
        <w:tc>
          <w:tcPr>
            <w:tcW w:w="5372"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 xml:space="preserve">Les choix de financement des agents économiques seront présentés de manière élémentaire. On montrera que le taux d'intérêt est à la fois la rémunération du prêteur et le coût du crédit pour l'emprunteur et qu'il varie en fonction du risque associé au crédit. On pourra illustrer ce mécanisme à partir de l'exemple des crises des dettes publiques. On distinguera le financement </w:t>
            </w:r>
            <w:proofErr w:type="spellStart"/>
            <w:r w:rsidRPr="0094071D">
              <w:rPr>
                <w:rFonts w:ascii="Times New Roman" w:eastAsia="Times New Roman" w:hAnsi="Times New Roman" w:cs="Times New Roman"/>
                <w:sz w:val="18"/>
                <w:szCs w:val="18"/>
                <w:lang w:eastAsia="fr-FR"/>
              </w:rPr>
              <w:t>intermédié</w:t>
            </w:r>
            <w:proofErr w:type="spellEnd"/>
            <w:r w:rsidRPr="0094071D">
              <w:rPr>
                <w:rFonts w:ascii="Times New Roman" w:eastAsia="Times New Roman" w:hAnsi="Times New Roman" w:cs="Times New Roman"/>
                <w:sz w:val="18"/>
                <w:szCs w:val="18"/>
                <w:lang w:eastAsia="fr-FR"/>
              </w:rPr>
              <w:t xml:space="preserve"> et le financement direct. Dans la procédure de financement par appel au marché, on présentera les grandes catégories de titres émis et échangés (actions, obligations) ainsi que leur mode de rémunération (dividende, intérêt).</w:t>
            </w:r>
          </w:p>
        </w:tc>
      </w:tr>
      <w:tr w:rsidR="0094071D" w:rsidRPr="0094071D" w:rsidTr="0094071D">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b/>
                <w:bCs/>
                <w:sz w:val="18"/>
                <w:szCs w:val="18"/>
                <w:lang w:eastAsia="fr-FR"/>
              </w:rPr>
              <w:t>4.3</w:t>
            </w:r>
            <w:r w:rsidRPr="0094071D">
              <w:rPr>
                <w:rFonts w:ascii="Times New Roman" w:eastAsia="Times New Roman" w:hAnsi="Times New Roman" w:cs="Times New Roman"/>
                <w:sz w:val="18"/>
                <w:szCs w:val="18"/>
                <w:lang w:eastAsia="fr-FR"/>
              </w:rPr>
              <w:t> </w:t>
            </w:r>
            <w:r w:rsidRPr="0094071D">
              <w:rPr>
                <w:rFonts w:ascii="Times New Roman" w:eastAsia="Times New Roman" w:hAnsi="Times New Roman" w:cs="Times New Roman"/>
                <w:b/>
                <w:bCs/>
                <w:sz w:val="18"/>
                <w:szCs w:val="18"/>
                <w:lang w:eastAsia="fr-FR"/>
              </w:rPr>
              <w:t>Qui crée la monnaie ?</w:t>
            </w:r>
          </w:p>
        </w:tc>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Masse monétaire, marché monétaire, banque centrale, prêteur en dernier ressort</w:t>
            </w:r>
          </w:p>
        </w:tc>
        <w:tc>
          <w:tcPr>
            <w:tcW w:w="5372"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On présentera, à l'aide d'exemples simples, le processus de création monétaire par les banques commerciales (« les crédits font les dépôts »). On montrera le rôle central du marché monétaire. On pourra citer les autres sources de la création monétaire (créances sur le Trésor et devises). Pour ce faire, on définira la banque centrale comme la « banque des banques » et on montrera l'importance de son rôle pour assurer la liquidité (notamment lors des crises de confiance) et préserver le pouvoir d'achat de la monnaie.</w:t>
            </w:r>
          </w:p>
        </w:tc>
      </w:tr>
      <w:tr w:rsidR="0094071D" w:rsidRPr="0094071D" w:rsidTr="0094071D">
        <w:tc>
          <w:tcPr>
            <w:tcW w:w="10206" w:type="dxa"/>
            <w:gridSpan w:val="3"/>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b/>
                <w:bCs/>
                <w:sz w:val="18"/>
                <w:szCs w:val="18"/>
                <w:lang w:eastAsia="fr-FR"/>
              </w:rPr>
              <w:t>5. Régulations et déséquilibres macroéconomiques</w:t>
            </w:r>
          </w:p>
        </w:tc>
      </w:tr>
      <w:tr w:rsidR="0094071D" w:rsidRPr="0094071D" w:rsidTr="0094071D">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b/>
                <w:bCs/>
                <w:sz w:val="18"/>
                <w:szCs w:val="18"/>
                <w:lang w:eastAsia="fr-FR"/>
              </w:rPr>
              <w:t>5.1 Pourquoi la puissance publique intervient-elle dans la régulation des économies contemporaines ?</w:t>
            </w:r>
          </w:p>
        </w:tc>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Fonctions économiques de l'État (allocation, répartition, stabilisation)</w:t>
            </w:r>
          </w:p>
        </w:tc>
        <w:tc>
          <w:tcPr>
            <w:tcW w:w="5372"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 xml:space="preserve">En faisant référence aux défaillances de marché étudiées précédemment et à la possibilité de déséquilibres macroéconomiques, on étudiera les fonctions de régulation économique de la puissance publique en insistant sur l'importance du cadre réglementaire dans lequel s'exercent les activités économiques. On présentera brièvement les principaux niveaux d'intervention (notamment </w:t>
            </w:r>
            <w:proofErr w:type="gramStart"/>
            <w:r w:rsidRPr="0094071D">
              <w:rPr>
                <w:rFonts w:ascii="Times New Roman" w:eastAsia="Times New Roman" w:hAnsi="Times New Roman" w:cs="Times New Roman"/>
                <w:sz w:val="18"/>
                <w:szCs w:val="18"/>
                <w:lang w:eastAsia="fr-FR"/>
              </w:rPr>
              <w:t>européen, national et local</w:t>
            </w:r>
            <w:proofErr w:type="gramEnd"/>
            <w:r w:rsidRPr="0094071D">
              <w:rPr>
                <w:rFonts w:ascii="Times New Roman" w:eastAsia="Times New Roman" w:hAnsi="Times New Roman" w:cs="Times New Roman"/>
                <w:sz w:val="18"/>
                <w:szCs w:val="18"/>
                <w:lang w:eastAsia="fr-FR"/>
              </w:rPr>
              <w:t>).</w:t>
            </w:r>
          </w:p>
        </w:tc>
      </w:tr>
      <w:tr w:rsidR="0094071D" w:rsidRPr="0094071D" w:rsidTr="0094071D">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b/>
                <w:bCs/>
                <w:sz w:val="18"/>
                <w:szCs w:val="18"/>
                <w:lang w:eastAsia="fr-FR"/>
              </w:rPr>
              <w:t xml:space="preserve">5.2 Comment le budget de </w:t>
            </w:r>
            <w:r w:rsidRPr="0094071D">
              <w:rPr>
                <w:rFonts w:ascii="Times New Roman" w:eastAsia="Times New Roman" w:hAnsi="Times New Roman" w:cs="Times New Roman"/>
                <w:b/>
                <w:bCs/>
                <w:sz w:val="18"/>
                <w:szCs w:val="18"/>
                <w:lang w:eastAsia="fr-FR"/>
              </w:rPr>
              <w:lastRenderedPageBreak/>
              <w:t>l'État permet-il d'agir sur l'économie ?</w:t>
            </w:r>
          </w:p>
        </w:tc>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lastRenderedPageBreak/>
              <w:t xml:space="preserve">Prélèvements obligatoires, </w:t>
            </w:r>
            <w:r w:rsidRPr="0094071D">
              <w:rPr>
                <w:rFonts w:ascii="Times New Roman" w:eastAsia="Times New Roman" w:hAnsi="Times New Roman" w:cs="Times New Roman"/>
                <w:sz w:val="18"/>
                <w:szCs w:val="18"/>
                <w:lang w:eastAsia="fr-FR"/>
              </w:rPr>
              <w:lastRenderedPageBreak/>
              <w:t>dépenses publiques, déficit public, dette publique</w:t>
            </w:r>
          </w:p>
        </w:tc>
        <w:tc>
          <w:tcPr>
            <w:tcW w:w="5372"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lastRenderedPageBreak/>
              <w:t xml:space="preserve">On décrira la structure du budget de l'État et de l'ensemble des </w:t>
            </w:r>
            <w:r w:rsidRPr="0094071D">
              <w:rPr>
                <w:rFonts w:ascii="Times New Roman" w:eastAsia="Times New Roman" w:hAnsi="Times New Roman" w:cs="Times New Roman"/>
                <w:sz w:val="18"/>
                <w:szCs w:val="18"/>
                <w:lang w:eastAsia="fr-FR"/>
              </w:rPr>
              <w:lastRenderedPageBreak/>
              <w:t>administrations publiques, en donnant des ordres de grandeur. On insistera sur les notions de production non marchande et de prélèvements obligatoires. On montrera, à l'aide d'exemples (fiscalité écologique, crédit d'impôt pour les aides à domicile ou pour les dons aux associations, etc.) qu'en changeant les prix relatifs ou les rémunérations nettes, les impôts et taxes modifient les incitations des agents.</w:t>
            </w:r>
          </w:p>
        </w:tc>
      </w:tr>
      <w:tr w:rsidR="0094071D" w:rsidRPr="0094071D" w:rsidTr="0094071D">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b/>
                <w:bCs/>
                <w:sz w:val="18"/>
                <w:szCs w:val="18"/>
                <w:lang w:eastAsia="fr-FR"/>
              </w:rPr>
              <w:lastRenderedPageBreak/>
              <w:t>5.3 Quelles politiques conjoncturelles ?</w:t>
            </w:r>
          </w:p>
        </w:tc>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Demande globale, inflation, chômage, déséquilibre extérieur, politique budgétaire, politique monétaire</w:t>
            </w:r>
          </w:p>
        </w:tc>
        <w:tc>
          <w:tcPr>
            <w:tcW w:w="5372"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On présentera les principaux déséquilibres macroéconomiques et leurs instruments de mesure. On montrera comment ils sont liés à la dynamique de la demande globale.</w:t>
            </w:r>
          </w:p>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En s'appuyant sur les développements du point 5.2, on montrera comment les pouvoirs publics peuvent utiliser la politique budgétaire pour agir sur les déséquilibres. En se référant au point 4.3, on présentera également les moyens d'action des banques centrales (notamment la Banque centrale européenne) et leur rôle dans la régulation conjoncturelle de l'activité économique.</w:t>
            </w:r>
          </w:p>
        </w:tc>
      </w:tr>
      <w:tr w:rsidR="0094071D" w:rsidRPr="0094071D" w:rsidTr="0094071D">
        <w:tc>
          <w:tcPr>
            <w:tcW w:w="10206" w:type="dxa"/>
            <w:gridSpan w:val="3"/>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b/>
                <w:sz w:val="28"/>
                <w:szCs w:val="18"/>
                <w:lang w:eastAsia="fr-FR"/>
              </w:rPr>
            </w:pPr>
            <w:r w:rsidRPr="0094071D">
              <w:rPr>
                <w:rFonts w:ascii="Times New Roman" w:eastAsia="Times New Roman" w:hAnsi="Times New Roman" w:cs="Times New Roman"/>
                <w:b/>
                <w:sz w:val="28"/>
                <w:szCs w:val="18"/>
                <w:lang w:eastAsia="fr-FR"/>
              </w:rPr>
              <w:t>Sociologie générale et sociologie politique (Durée indicative : 60 heures)</w:t>
            </w:r>
          </w:p>
        </w:tc>
      </w:tr>
      <w:tr w:rsidR="0094071D" w:rsidRPr="0094071D" w:rsidTr="0094071D">
        <w:tc>
          <w:tcPr>
            <w:tcW w:w="10206" w:type="dxa"/>
            <w:gridSpan w:val="3"/>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b/>
                <w:bCs/>
                <w:sz w:val="18"/>
                <w:szCs w:val="18"/>
                <w:lang w:eastAsia="fr-FR"/>
              </w:rPr>
              <w:t>1. Les processus de socialisation et la construction des identités sociales</w:t>
            </w:r>
          </w:p>
        </w:tc>
      </w:tr>
      <w:tr w:rsidR="0094071D" w:rsidRPr="0094071D" w:rsidTr="0094071D">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b/>
                <w:bCs/>
                <w:sz w:val="18"/>
                <w:szCs w:val="18"/>
                <w:lang w:eastAsia="fr-FR"/>
              </w:rPr>
              <w:t>1.1 Comment la socialisation de l'enfant s'effectue-t-elle ?</w:t>
            </w:r>
          </w:p>
        </w:tc>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Normes, valeurs, rôles, socialisation différentielle</w:t>
            </w:r>
          </w:p>
        </w:tc>
        <w:tc>
          <w:tcPr>
            <w:tcW w:w="5372"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On étudiera les processus par lesquels l'enfant construit sa personnalité par l'intériorisation / incorporation de manières de penser et d'agir socialement situées. On s'interrogera sur les effets possiblement contradictoires de l'action des différentes instances de socialisation (famille, école, groupe des pairs, média). On mettra aussi en évidence les variations des processus de socialisation en fonction des milieux sociaux et du genre, en insistant plus particulièrement sur la construction sociale des rôles associés au sexe.</w:t>
            </w:r>
          </w:p>
        </w:tc>
      </w:tr>
      <w:tr w:rsidR="0094071D" w:rsidRPr="0094071D" w:rsidTr="0094071D">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b/>
                <w:bCs/>
                <w:sz w:val="18"/>
                <w:szCs w:val="18"/>
                <w:lang w:eastAsia="fr-FR"/>
              </w:rPr>
              <w:t>1.2 De la socialisation de l'enfant à la socialisation de l'adulte : continuité ou ruptures ?</w:t>
            </w:r>
          </w:p>
        </w:tc>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Socialisation primaire / secondaire, socialisation anticipatrice</w:t>
            </w:r>
          </w:p>
        </w:tc>
        <w:tc>
          <w:tcPr>
            <w:tcW w:w="5372"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On se demandera en quoi le processus de socialisation secondaire (conjugale, professionnelle, etc.) est lié aux conditions et aux effets de la socialisation primaire. On montrera également que la socialisation, aux différents âges de la vie, fait se succéder des phases de transition et des processus de restructuration de l'identité sociale.</w:t>
            </w:r>
          </w:p>
        </w:tc>
      </w:tr>
    </w:tbl>
    <w:p w:rsidR="0094071D" w:rsidRPr="0094071D" w:rsidRDefault="0094071D" w:rsidP="0094071D">
      <w:pPr>
        <w:shd w:val="clear" w:color="auto" w:fill="FFFFFF"/>
        <w:spacing w:after="0" w:line="240" w:lineRule="auto"/>
        <w:rPr>
          <w:rFonts w:ascii="Arial" w:eastAsia="Times New Roman" w:hAnsi="Arial" w:cs="Arial"/>
          <w:color w:val="000000"/>
          <w:sz w:val="18"/>
          <w:szCs w:val="18"/>
          <w:lang w:eastAsia="fr-FR"/>
        </w:rPr>
      </w:pPr>
      <w:r w:rsidRPr="0094071D">
        <w:rPr>
          <w:rFonts w:ascii="Arial" w:eastAsia="Times New Roman" w:hAnsi="Arial" w:cs="Arial"/>
          <w:color w:val="000000"/>
          <w:sz w:val="18"/>
          <w:szCs w:val="18"/>
          <w:lang w:eastAsia="fr-FR"/>
        </w:rPr>
        <w:t> </w:t>
      </w:r>
    </w:p>
    <w:tbl>
      <w:tblPr>
        <w:tblW w:w="10206" w:type="dxa"/>
        <w:tblInd w:w="-507" w:type="dxa"/>
        <w:shd w:val="clear" w:color="auto" w:fill="FDEEE9"/>
        <w:tblCellMar>
          <w:left w:w="0" w:type="dxa"/>
          <w:right w:w="0" w:type="dxa"/>
        </w:tblCellMar>
        <w:tblLook w:val="04A0" w:firstRow="1" w:lastRow="0" w:firstColumn="1" w:lastColumn="0" w:noHBand="0" w:noVBand="1"/>
      </w:tblPr>
      <w:tblGrid>
        <w:gridCol w:w="2219"/>
        <w:gridCol w:w="1996"/>
        <w:gridCol w:w="5991"/>
      </w:tblGrid>
      <w:tr w:rsidR="0094071D" w:rsidRPr="0094071D" w:rsidTr="0094071D">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color w:val="AD1C72"/>
                <w:sz w:val="18"/>
                <w:szCs w:val="18"/>
                <w:lang w:eastAsia="fr-FR"/>
              </w:rPr>
              <w:t>Thèmes</w:t>
            </w:r>
          </w:p>
        </w:tc>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color w:val="AD1C72"/>
                <w:sz w:val="18"/>
                <w:szCs w:val="18"/>
                <w:lang w:eastAsia="fr-FR"/>
              </w:rPr>
              <w:t>Notions</w:t>
            </w:r>
          </w:p>
        </w:tc>
        <w:tc>
          <w:tcPr>
            <w:tcW w:w="5991"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color w:val="AD1C72"/>
                <w:sz w:val="18"/>
                <w:szCs w:val="18"/>
                <w:lang w:eastAsia="fr-FR"/>
              </w:rPr>
              <w:t>Indications complémentaires</w:t>
            </w:r>
          </w:p>
        </w:tc>
      </w:tr>
      <w:tr w:rsidR="0094071D" w:rsidRPr="0094071D" w:rsidTr="0094071D">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 </w:t>
            </w:r>
          </w:p>
        </w:tc>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 </w:t>
            </w:r>
          </w:p>
        </w:tc>
        <w:tc>
          <w:tcPr>
            <w:tcW w:w="5991"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 </w:t>
            </w:r>
          </w:p>
        </w:tc>
      </w:tr>
      <w:tr w:rsidR="0094071D" w:rsidRPr="0094071D" w:rsidTr="0094071D">
        <w:tc>
          <w:tcPr>
            <w:tcW w:w="10206" w:type="dxa"/>
            <w:gridSpan w:val="3"/>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b/>
                <w:bCs/>
                <w:sz w:val="18"/>
                <w:szCs w:val="18"/>
                <w:lang w:eastAsia="fr-FR"/>
              </w:rPr>
              <w:t>2. Groupes et réseaux sociaux</w:t>
            </w:r>
          </w:p>
        </w:tc>
      </w:tr>
      <w:tr w:rsidR="0094071D" w:rsidRPr="0094071D" w:rsidTr="0094071D">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b/>
                <w:bCs/>
                <w:sz w:val="18"/>
                <w:szCs w:val="18"/>
                <w:lang w:eastAsia="fr-FR"/>
              </w:rPr>
              <w:t>2.1 Comment les individus s'associent-ils pour constituer des groupes sociaux ?</w:t>
            </w:r>
          </w:p>
        </w:tc>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Groupes primaire / secondaire, groupes d'appartenance / de référence</w:t>
            </w:r>
          </w:p>
        </w:tc>
        <w:tc>
          <w:tcPr>
            <w:tcW w:w="5991"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On distinguera les groupes sociaux, caractérisés par l'existence d'interactions (directes ou indirectes) entre leurs membres et la conscience d'une appartenance commune (familles, collectifs de travail, associations, etc.), des catégories statistiques (PCS, groupes d'âge, etc.).</w:t>
            </w:r>
          </w:p>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On montrera que les groupes sociaux se différencient en fonction de leur taille, de leur rôle, de leur mode de fonctionnement et de leur degré de cohésion. On évoquera les situations où les individus prennent comme référence un autre groupe que celui auquel ils appartiennent.</w:t>
            </w:r>
          </w:p>
        </w:tc>
      </w:tr>
      <w:tr w:rsidR="0094071D" w:rsidRPr="0094071D" w:rsidTr="0094071D">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b/>
                <w:bCs/>
                <w:sz w:val="18"/>
                <w:szCs w:val="18"/>
                <w:lang w:eastAsia="fr-FR"/>
              </w:rPr>
              <w:t>2.2 Comment les réseaux sociaux fonctionnent-ils ?</w:t>
            </w:r>
          </w:p>
        </w:tc>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Capital social, sociabilité</w:t>
            </w:r>
          </w:p>
        </w:tc>
        <w:tc>
          <w:tcPr>
            <w:tcW w:w="5991"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On montrera que les réseaux sociaux constituent une forme spécifique de coordination entre acteurs et de sociabilité (réseaux internet, associations d'anciens élèves, etc.). On pourra présenter quelques exemples très simples de structuration de réseaux sans entrer dans la théorie des graphes. On s'intéressera surtout au rôle des réseaux en matière de recherche d'emploi en discutant plus particulièrement la thèse de « la force des liens faibles ».</w:t>
            </w:r>
          </w:p>
        </w:tc>
      </w:tr>
      <w:tr w:rsidR="0094071D" w:rsidRPr="0094071D" w:rsidTr="0094071D">
        <w:tc>
          <w:tcPr>
            <w:tcW w:w="10206" w:type="dxa"/>
            <w:gridSpan w:val="3"/>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b/>
                <w:bCs/>
                <w:sz w:val="18"/>
                <w:szCs w:val="18"/>
                <w:lang w:eastAsia="fr-FR"/>
              </w:rPr>
              <w:t>3. Contrôle social et déviance</w:t>
            </w:r>
          </w:p>
        </w:tc>
      </w:tr>
      <w:tr w:rsidR="0094071D" w:rsidRPr="0094071D" w:rsidTr="0094071D">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b/>
                <w:bCs/>
                <w:sz w:val="18"/>
                <w:szCs w:val="18"/>
                <w:lang w:eastAsia="fr-FR"/>
              </w:rPr>
              <w:t>3.1 Comment le contrôle social s'exerce-t-il aujourd'hui ?</w:t>
            </w:r>
          </w:p>
        </w:tc>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Contrôle social formel/ informel, stigmatisation</w:t>
            </w:r>
          </w:p>
        </w:tc>
        <w:tc>
          <w:tcPr>
            <w:tcW w:w="5991"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On s'interrogera sur l'évolution des formes du contrôle social dans les sociétés modernes et sur leurs effets. On montrera qu'au fur et à mesure que les relations sociales deviennent plus impersonnelles, le contrôle social par des instances spécialisées tend à prédominer sur le contrôle informel exercé par les groupes primaires. On pourra s'interroger également sur les effets produits par le recours à des formes de contrôle social prenant appui sur les ressources des nouvelles technologies.</w:t>
            </w:r>
          </w:p>
        </w:tc>
      </w:tr>
      <w:tr w:rsidR="0094071D" w:rsidRPr="0094071D" w:rsidTr="0094071D">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b/>
                <w:bCs/>
                <w:sz w:val="18"/>
                <w:szCs w:val="18"/>
                <w:lang w:eastAsia="fr-FR"/>
              </w:rPr>
              <w:t>3.2 Quels sont les processus qui conduisent à la déviance ?</w:t>
            </w:r>
          </w:p>
        </w:tc>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Déviance, anomie</w:t>
            </w:r>
          </w:p>
        </w:tc>
        <w:tc>
          <w:tcPr>
            <w:tcW w:w="5991"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 xml:space="preserve">On définira la déviance comme une transgression des normes et on montrera qu'elle peut revêtir des formes variées selon les sociétés et, en leur sein, selon les groupes sociaux. On analysera la déviance comme le produit d'une suite d'interactions sociales qui aboutissent à « étiqueter » certains comportements comme déviants et, en tant que tels, à les sanctionner. On montrera que les </w:t>
            </w:r>
            <w:r w:rsidRPr="0094071D">
              <w:rPr>
                <w:rFonts w:ascii="Times New Roman" w:eastAsia="Times New Roman" w:hAnsi="Times New Roman" w:cs="Times New Roman"/>
                <w:sz w:val="18"/>
                <w:szCs w:val="18"/>
                <w:lang w:eastAsia="fr-FR"/>
              </w:rPr>
              <w:lastRenderedPageBreak/>
              <w:t>comportements déviants peuvent aussi s'expliquer par des situations d'anomie.</w:t>
            </w:r>
          </w:p>
        </w:tc>
      </w:tr>
      <w:tr w:rsidR="0094071D" w:rsidRPr="0094071D" w:rsidTr="0094071D">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b/>
                <w:bCs/>
                <w:sz w:val="18"/>
                <w:szCs w:val="18"/>
                <w:lang w:eastAsia="fr-FR"/>
              </w:rPr>
              <w:lastRenderedPageBreak/>
              <w:t>3.3 Comment mesurer le niveau de la délinquance ?</w:t>
            </w:r>
          </w:p>
        </w:tc>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 xml:space="preserve">Chiffre noir de la délinquance, enquête de </w:t>
            </w:r>
            <w:proofErr w:type="spellStart"/>
            <w:r w:rsidRPr="0094071D">
              <w:rPr>
                <w:rFonts w:ascii="Times New Roman" w:eastAsia="Times New Roman" w:hAnsi="Times New Roman" w:cs="Times New Roman"/>
                <w:sz w:val="18"/>
                <w:szCs w:val="18"/>
                <w:lang w:eastAsia="fr-FR"/>
              </w:rPr>
              <w:t>victimation</w:t>
            </w:r>
            <w:proofErr w:type="spellEnd"/>
          </w:p>
        </w:tc>
        <w:tc>
          <w:tcPr>
            <w:tcW w:w="5991"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 xml:space="preserve">On précisera que la délinquance n'est qu'une forme particulière de déviance : celle qui fait l'objet d'une sanction pénale. On s'intéressera aux modes de construction des statistiques produites par la police et la justice. On confrontera ces données avec celles que révèlent les enquêtes de </w:t>
            </w:r>
            <w:proofErr w:type="spellStart"/>
            <w:r w:rsidRPr="0094071D">
              <w:rPr>
                <w:rFonts w:ascii="Times New Roman" w:eastAsia="Times New Roman" w:hAnsi="Times New Roman" w:cs="Times New Roman"/>
                <w:sz w:val="18"/>
                <w:szCs w:val="18"/>
                <w:lang w:eastAsia="fr-FR"/>
              </w:rPr>
              <w:t>victimation</w:t>
            </w:r>
            <w:proofErr w:type="spellEnd"/>
            <w:r w:rsidRPr="0094071D">
              <w:rPr>
                <w:rFonts w:ascii="Times New Roman" w:eastAsia="Times New Roman" w:hAnsi="Times New Roman" w:cs="Times New Roman"/>
                <w:sz w:val="18"/>
                <w:szCs w:val="18"/>
                <w:lang w:eastAsia="fr-FR"/>
              </w:rPr>
              <w:t>.</w:t>
            </w:r>
          </w:p>
        </w:tc>
      </w:tr>
      <w:tr w:rsidR="0094071D" w:rsidRPr="0094071D" w:rsidTr="0094071D">
        <w:tc>
          <w:tcPr>
            <w:tcW w:w="10206" w:type="dxa"/>
            <w:gridSpan w:val="3"/>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b/>
                <w:bCs/>
                <w:sz w:val="18"/>
                <w:szCs w:val="18"/>
                <w:lang w:eastAsia="fr-FR"/>
              </w:rPr>
              <w:t>4. Ordre politique et légitimation</w:t>
            </w:r>
          </w:p>
        </w:tc>
      </w:tr>
      <w:tr w:rsidR="0094071D" w:rsidRPr="0094071D" w:rsidTr="0094071D">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b/>
                <w:bCs/>
                <w:sz w:val="18"/>
                <w:szCs w:val="18"/>
                <w:lang w:eastAsia="fr-FR"/>
              </w:rPr>
              <w:t>4.1 Pourquoi un ordre politique ?</w:t>
            </w:r>
          </w:p>
        </w:tc>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État, État-nation, souveraineté</w:t>
            </w:r>
          </w:p>
        </w:tc>
        <w:tc>
          <w:tcPr>
            <w:tcW w:w="5991"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On mettra en évidence l'avènement d'un ordre politique distinct des ordres économiques, sociaux et culturels. On pourra prendre l'exemple de l'évolution de l'État dans le monde occidental. On apprendra aux élèves à distinguer la construction étatique et la construction nationale.</w:t>
            </w:r>
          </w:p>
        </w:tc>
      </w:tr>
      <w:tr w:rsidR="0094071D" w:rsidRPr="0094071D" w:rsidTr="0094071D">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b/>
                <w:bCs/>
                <w:sz w:val="18"/>
                <w:szCs w:val="18"/>
                <w:lang w:eastAsia="fr-FR"/>
              </w:rPr>
              <w:t>4.2 Quelles sont les formes institutionnelles de l'ordre politique ?</w:t>
            </w:r>
          </w:p>
        </w:tc>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État de droit, État unitaire / fédéral, démocratie représentative / participative</w:t>
            </w:r>
          </w:p>
        </w:tc>
        <w:tc>
          <w:tcPr>
            <w:tcW w:w="5991"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On familiarisera les élèves au vocabulaire juridique et politique qui permet de distinguer les formes étatiques et de préciser le contexte institutionnel dans lequel elles se sont développées. À partir d'exemples contemporains, on sensibilisera aussi les élèves à l'émergence de nouvelles formes de participation politique et de légitimation démocratique.</w:t>
            </w:r>
          </w:p>
        </w:tc>
      </w:tr>
      <w:tr w:rsidR="0094071D" w:rsidRPr="0094071D" w:rsidTr="0094071D">
        <w:tc>
          <w:tcPr>
            <w:tcW w:w="10206" w:type="dxa"/>
            <w:gridSpan w:val="3"/>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28"/>
                <w:szCs w:val="18"/>
                <w:lang w:eastAsia="fr-FR"/>
              </w:rPr>
            </w:pPr>
            <w:r w:rsidRPr="0094071D">
              <w:rPr>
                <w:rFonts w:ascii="Times New Roman" w:eastAsia="Times New Roman" w:hAnsi="Times New Roman" w:cs="Times New Roman"/>
                <w:b/>
                <w:bCs/>
                <w:sz w:val="28"/>
                <w:szCs w:val="18"/>
                <w:lang w:eastAsia="fr-FR"/>
              </w:rPr>
              <w:t>Regards croisés (20 h)</w:t>
            </w:r>
          </w:p>
        </w:tc>
      </w:tr>
      <w:tr w:rsidR="0094071D" w:rsidRPr="0094071D" w:rsidTr="0094071D">
        <w:tc>
          <w:tcPr>
            <w:tcW w:w="10206" w:type="dxa"/>
            <w:gridSpan w:val="3"/>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b/>
                <w:bCs/>
                <w:sz w:val="18"/>
                <w:szCs w:val="18"/>
                <w:lang w:eastAsia="fr-FR"/>
              </w:rPr>
              <w:t>Entreprise, institution, organisation</w:t>
            </w:r>
          </w:p>
        </w:tc>
      </w:tr>
      <w:tr w:rsidR="0094071D" w:rsidRPr="0094071D" w:rsidTr="0094071D">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b/>
                <w:bCs/>
                <w:sz w:val="18"/>
                <w:szCs w:val="18"/>
                <w:lang w:eastAsia="fr-FR"/>
              </w:rPr>
              <w:t>Comment les rapports sociaux s'organisent-ils au sein de l'entreprise ?</w:t>
            </w:r>
          </w:p>
        </w:tc>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Hiérarchie, coopération, conflit</w:t>
            </w:r>
          </w:p>
        </w:tc>
        <w:tc>
          <w:tcPr>
            <w:tcW w:w="5991"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On montrera comment l'entreprise constitue un mode de coordination des actions par la hiérarchie. On mettra aussi en évidence comment coopération et conflits s'entremêlent dans la production de l'action collective. On mobilisera pour cela les apports de la science économique (économie de la firme) et de la sociologie (mobilisation et logiques d'acteurs).</w:t>
            </w:r>
          </w:p>
        </w:tc>
      </w:tr>
    </w:tbl>
    <w:p w:rsidR="0094071D" w:rsidRPr="0094071D" w:rsidRDefault="0094071D" w:rsidP="0094071D">
      <w:pPr>
        <w:shd w:val="clear" w:color="auto" w:fill="FFFFFF"/>
        <w:spacing w:after="0" w:line="240" w:lineRule="auto"/>
        <w:rPr>
          <w:rFonts w:ascii="Arial" w:eastAsia="Times New Roman" w:hAnsi="Arial" w:cs="Arial"/>
          <w:color w:val="000000"/>
          <w:sz w:val="18"/>
          <w:szCs w:val="18"/>
          <w:lang w:eastAsia="fr-FR"/>
        </w:rPr>
      </w:pPr>
      <w:r w:rsidRPr="0094071D">
        <w:rPr>
          <w:rFonts w:ascii="Arial" w:eastAsia="Times New Roman" w:hAnsi="Arial" w:cs="Arial"/>
          <w:color w:val="000000"/>
          <w:sz w:val="18"/>
          <w:szCs w:val="18"/>
          <w:lang w:eastAsia="fr-FR"/>
        </w:rPr>
        <w:t> </w:t>
      </w:r>
    </w:p>
    <w:tbl>
      <w:tblPr>
        <w:tblW w:w="10206" w:type="dxa"/>
        <w:tblInd w:w="-507" w:type="dxa"/>
        <w:shd w:val="clear" w:color="auto" w:fill="FDEEE9"/>
        <w:tblCellMar>
          <w:left w:w="0" w:type="dxa"/>
          <w:right w:w="0" w:type="dxa"/>
        </w:tblCellMar>
        <w:tblLook w:val="04A0" w:firstRow="1" w:lastRow="0" w:firstColumn="1" w:lastColumn="0" w:noHBand="0" w:noVBand="1"/>
      </w:tblPr>
      <w:tblGrid>
        <w:gridCol w:w="2002"/>
        <w:gridCol w:w="1828"/>
        <w:gridCol w:w="6376"/>
      </w:tblGrid>
      <w:tr w:rsidR="0094071D" w:rsidRPr="0094071D" w:rsidTr="0094071D">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color w:val="AD1C72"/>
                <w:sz w:val="18"/>
                <w:szCs w:val="18"/>
                <w:lang w:eastAsia="fr-FR"/>
              </w:rPr>
              <w:t>Thèmes</w:t>
            </w:r>
          </w:p>
        </w:tc>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color w:val="AD1C72"/>
                <w:sz w:val="18"/>
                <w:szCs w:val="18"/>
                <w:lang w:eastAsia="fr-FR"/>
              </w:rPr>
              <w:t>Notions</w:t>
            </w:r>
          </w:p>
        </w:tc>
        <w:tc>
          <w:tcPr>
            <w:tcW w:w="6376"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color w:val="AD1C72"/>
                <w:sz w:val="18"/>
                <w:szCs w:val="18"/>
                <w:lang w:eastAsia="fr-FR"/>
              </w:rPr>
              <w:t>Indications complémentaires</w:t>
            </w:r>
          </w:p>
        </w:tc>
      </w:tr>
      <w:tr w:rsidR="0094071D" w:rsidRPr="0094071D" w:rsidTr="0094071D">
        <w:tc>
          <w:tcPr>
            <w:tcW w:w="10206" w:type="dxa"/>
            <w:gridSpan w:val="3"/>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b/>
                <w:bCs/>
                <w:sz w:val="18"/>
                <w:szCs w:val="18"/>
                <w:lang w:eastAsia="fr-FR"/>
              </w:rPr>
              <w:t>Action publique et régulation</w:t>
            </w:r>
          </w:p>
        </w:tc>
      </w:tr>
      <w:tr w:rsidR="0094071D" w:rsidRPr="0094071D" w:rsidTr="0094071D">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b/>
                <w:bCs/>
                <w:sz w:val="18"/>
                <w:szCs w:val="18"/>
                <w:lang w:eastAsia="fr-FR"/>
              </w:rPr>
              <w:t>Comment l'État-providence contribue-t-il à la cohésion sociale ?</w:t>
            </w:r>
          </w:p>
        </w:tc>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Solidarité, désaffiliation, disqualification sociale</w:t>
            </w:r>
          </w:p>
        </w:tc>
        <w:tc>
          <w:tcPr>
            <w:tcW w:w="6376"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On montrera comment l'État social contribue, à travers la définition de droits sociaux et la mobilisation d'instruments divers, à favoriser la cohésion sociale en luttant contre la pauvreté, l'exclusion et les discriminations.</w:t>
            </w:r>
          </w:p>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 </w:t>
            </w:r>
          </w:p>
        </w:tc>
      </w:tr>
      <w:tr w:rsidR="0094071D" w:rsidRPr="0094071D" w:rsidTr="0094071D">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b/>
                <w:bCs/>
                <w:sz w:val="18"/>
                <w:szCs w:val="18"/>
                <w:lang w:eastAsia="fr-FR"/>
              </w:rPr>
              <w:t>Comment un phénomène social devient-il un problème public ?</w:t>
            </w:r>
          </w:p>
        </w:tc>
        <w:tc>
          <w:tcPr>
            <w:tcW w:w="0" w:type="auto"/>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Agenda politique, action publique</w:t>
            </w:r>
          </w:p>
        </w:tc>
        <w:tc>
          <w:tcPr>
            <w:tcW w:w="6376"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94071D" w:rsidRPr="0094071D" w:rsidRDefault="0094071D" w:rsidP="0094071D">
            <w:pPr>
              <w:spacing w:after="0" w:line="240" w:lineRule="auto"/>
              <w:rPr>
                <w:rFonts w:ascii="Times New Roman" w:eastAsia="Times New Roman" w:hAnsi="Times New Roman" w:cs="Times New Roman"/>
                <w:sz w:val="18"/>
                <w:szCs w:val="18"/>
                <w:lang w:eastAsia="fr-FR"/>
              </w:rPr>
            </w:pPr>
            <w:r w:rsidRPr="0094071D">
              <w:rPr>
                <w:rFonts w:ascii="Times New Roman" w:eastAsia="Times New Roman" w:hAnsi="Times New Roman" w:cs="Times New Roman"/>
                <w:sz w:val="18"/>
                <w:szCs w:val="18"/>
                <w:lang w:eastAsia="fr-FR"/>
              </w:rPr>
              <w:t>On présentera une première approche de la construction des politiques publiques par l'interaction de divers acteurs (lutte contre l'échec scolaire, l'illettrisme, le tabagisme, la délinquance routière, etc.). On montrera comment la définition des problèmes publics et leur inscription à l'agenda politique sont un enjeu de conflit et un objet de coopération.</w:t>
            </w:r>
          </w:p>
        </w:tc>
      </w:tr>
    </w:tbl>
    <w:p w:rsidR="005F5393" w:rsidRDefault="005F5393" w:rsidP="0094071D"/>
    <w:p w:rsidR="00977C9A" w:rsidRDefault="00977C9A" w:rsidP="00977C9A">
      <w:pPr>
        <w:pStyle w:val="NormalWeb"/>
        <w:shd w:val="clear" w:color="auto" w:fill="FFFFFF"/>
        <w:spacing w:before="0" w:beforeAutospacing="0" w:after="0" w:afterAutospacing="0"/>
        <w:ind w:left="-567"/>
        <w:rPr>
          <w:rFonts w:ascii="Arial" w:hAnsi="Arial" w:cs="Arial"/>
          <w:color w:val="000000"/>
          <w:sz w:val="18"/>
          <w:szCs w:val="18"/>
        </w:rPr>
      </w:pPr>
      <w:r>
        <w:rPr>
          <w:rStyle w:val="stitre"/>
          <w:rFonts w:ascii="Arial" w:hAnsi="Arial" w:cs="Arial"/>
          <w:b/>
          <w:bCs/>
          <w:color w:val="AD1C72"/>
          <w:sz w:val="20"/>
          <w:szCs w:val="20"/>
        </w:rPr>
        <w:t>Savoir-faire applicables aux données quantitatives et aux représentations graphiques</w:t>
      </w:r>
    </w:p>
    <w:p w:rsidR="00977C9A" w:rsidRDefault="00977C9A" w:rsidP="00977C9A">
      <w:pPr>
        <w:pStyle w:val="NormalWeb"/>
        <w:shd w:val="clear" w:color="auto" w:fill="FFFFFF"/>
        <w:spacing w:before="0" w:beforeAutospacing="0" w:after="0" w:afterAutospacing="0"/>
        <w:ind w:left="-567"/>
        <w:rPr>
          <w:rFonts w:ascii="Arial" w:hAnsi="Arial" w:cs="Arial"/>
          <w:color w:val="000000"/>
          <w:sz w:val="18"/>
          <w:szCs w:val="18"/>
        </w:rPr>
      </w:pPr>
      <w:r>
        <w:rPr>
          <w:rFonts w:ascii="Arial" w:hAnsi="Arial" w:cs="Arial"/>
          <w:color w:val="000000"/>
          <w:sz w:val="18"/>
          <w:szCs w:val="18"/>
        </w:rPr>
        <w:t>L'enseignement des sciences économiques et sociales en classe de première doit conduire à la maîtrise de savoir-faire quantitatifs, ce qui implique à la fois calcul et lecture (c'est-à-dire interprétation) des résultats. Les calculs ne sont jamais demandés pour eux-mêmes, mais pour exploiter des documents statistiques travaillés en classe ou pour présenter sous forme graphique une modélisation simple des comportements économiques, sociaux ou politiques.</w:t>
      </w:r>
    </w:p>
    <w:p w:rsidR="00977C9A" w:rsidRDefault="00977C9A" w:rsidP="00977C9A">
      <w:pPr>
        <w:pStyle w:val="NormalWeb"/>
        <w:shd w:val="clear" w:color="auto" w:fill="FFFFFF"/>
        <w:spacing w:before="0" w:beforeAutospacing="0" w:after="0" w:afterAutospacing="0"/>
        <w:ind w:left="-567"/>
        <w:rPr>
          <w:rFonts w:ascii="Arial" w:hAnsi="Arial" w:cs="Arial"/>
          <w:color w:val="000000"/>
          <w:sz w:val="18"/>
          <w:szCs w:val="18"/>
        </w:rPr>
      </w:pPr>
      <w:r>
        <w:rPr>
          <w:rFonts w:ascii="Arial" w:hAnsi="Arial" w:cs="Arial"/>
          <w:color w:val="000000"/>
          <w:sz w:val="18"/>
          <w:szCs w:val="18"/>
        </w:rPr>
        <w:t>- Calculs de proportion et de pourcentages de répartition</w:t>
      </w:r>
    </w:p>
    <w:p w:rsidR="00977C9A" w:rsidRDefault="00977C9A" w:rsidP="00977C9A">
      <w:pPr>
        <w:pStyle w:val="NormalWeb"/>
        <w:shd w:val="clear" w:color="auto" w:fill="FFFFFF"/>
        <w:spacing w:before="0" w:beforeAutospacing="0" w:after="0" w:afterAutospacing="0"/>
        <w:ind w:left="-567"/>
        <w:rPr>
          <w:rFonts w:ascii="Arial" w:hAnsi="Arial" w:cs="Arial"/>
          <w:color w:val="000000"/>
          <w:sz w:val="18"/>
          <w:szCs w:val="18"/>
        </w:rPr>
      </w:pPr>
      <w:r>
        <w:rPr>
          <w:rFonts w:ascii="Arial" w:hAnsi="Arial" w:cs="Arial"/>
          <w:color w:val="000000"/>
          <w:sz w:val="18"/>
          <w:szCs w:val="18"/>
        </w:rPr>
        <w:t>- Moyenne arithmétique simple et pondérée, médiane</w:t>
      </w:r>
    </w:p>
    <w:p w:rsidR="00977C9A" w:rsidRDefault="00977C9A" w:rsidP="00977C9A">
      <w:pPr>
        <w:pStyle w:val="NormalWeb"/>
        <w:shd w:val="clear" w:color="auto" w:fill="FFFFFF"/>
        <w:spacing w:before="0" w:beforeAutospacing="0" w:after="0" w:afterAutospacing="0"/>
        <w:ind w:left="-567"/>
        <w:rPr>
          <w:rFonts w:ascii="Arial" w:hAnsi="Arial" w:cs="Arial"/>
          <w:color w:val="000000"/>
          <w:sz w:val="18"/>
          <w:szCs w:val="18"/>
        </w:rPr>
      </w:pPr>
      <w:r>
        <w:rPr>
          <w:rFonts w:ascii="Arial" w:hAnsi="Arial" w:cs="Arial"/>
          <w:color w:val="000000"/>
          <w:sz w:val="18"/>
          <w:szCs w:val="18"/>
        </w:rPr>
        <w:t>- Lecture de représentations graphiques : diagrammes de répartition, représentation des séries chronologiques</w:t>
      </w:r>
    </w:p>
    <w:p w:rsidR="00977C9A" w:rsidRDefault="00977C9A" w:rsidP="00977C9A">
      <w:pPr>
        <w:pStyle w:val="NormalWeb"/>
        <w:shd w:val="clear" w:color="auto" w:fill="FFFFFF"/>
        <w:spacing w:before="0" w:beforeAutospacing="0" w:after="0" w:afterAutospacing="0"/>
        <w:ind w:left="-567"/>
        <w:rPr>
          <w:rFonts w:ascii="Arial" w:hAnsi="Arial" w:cs="Arial"/>
          <w:color w:val="000000"/>
          <w:sz w:val="18"/>
          <w:szCs w:val="18"/>
        </w:rPr>
      </w:pPr>
      <w:r>
        <w:rPr>
          <w:rFonts w:ascii="Arial" w:hAnsi="Arial" w:cs="Arial"/>
          <w:color w:val="000000"/>
          <w:sz w:val="18"/>
          <w:szCs w:val="18"/>
        </w:rPr>
        <w:t>- Mesures de variation : coefficient multiplicateur, taux de variation, indice simple</w:t>
      </w:r>
    </w:p>
    <w:p w:rsidR="00977C9A" w:rsidRDefault="00977C9A" w:rsidP="00977C9A">
      <w:pPr>
        <w:pStyle w:val="NormalWeb"/>
        <w:shd w:val="clear" w:color="auto" w:fill="FFFFFF"/>
        <w:spacing w:before="0" w:beforeAutospacing="0" w:after="0" w:afterAutospacing="0"/>
        <w:ind w:left="-567"/>
        <w:rPr>
          <w:rFonts w:ascii="Arial" w:hAnsi="Arial" w:cs="Arial"/>
          <w:color w:val="000000"/>
          <w:sz w:val="18"/>
          <w:szCs w:val="18"/>
        </w:rPr>
      </w:pPr>
      <w:r>
        <w:rPr>
          <w:rFonts w:ascii="Arial" w:hAnsi="Arial" w:cs="Arial"/>
          <w:color w:val="000000"/>
          <w:sz w:val="18"/>
          <w:szCs w:val="18"/>
        </w:rPr>
        <w:t>- Lecture de tableaux à double entrée</w:t>
      </w:r>
    </w:p>
    <w:p w:rsidR="00977C9A" w:rsidRDefault="00977C9A" w:rsidP="00977C9A">
      <w:pPr>
        <w:pStyle w:val="NormalWeb"/>
        <w:shd w:val="clear" w:color="auto" w:fill="FFFFFF"/>
        <w:spacing w:before="0" w:beforeAutospacing="0" w:after="0" w:afterAutospacing="0"/>
        <w:ind w:left="-567"/>
        <w:rPr>
          <w:rFonts w:ascii="Arial" w:hAnsi="Arial" w:cs="Arial"/>
          <w:color w:val="000000"/>
          <w:sz w:val="18"/>
          <w:szCs w:val="18"/>
        </w:rPr>
      </w:pPr>
      <w:r>
        <w:rPr>
          <w:rFonts w:ascii="Arial" w:hAnsi="Arial" w:cs="Arial"/>
          <w:color w:val="000000"/>
          <w:sz w:val="18"/>
          <w:szCs w:val="18"/>
        </w:rPr>
        <w:t>- Évolution en valeur et en volume</w:t>
      </w:r>
    </w:p>
    <w:p w:rsidR="00977C9A" w:rsidRDefault="00977C9A" w:rsidP="00977C9A">
      <w:pPr>
        <w:pStyle w:val="NormalWeb"/>
        <w:shd w:val="clear" w:color="auto" w:fill="FFFFFF"/>
        <w:spacing w:before="0" w:beforeAutospacing="0" w:after="0" w:afterAutospacing="0"/>
        <w:ind w:left="-567"/>
        <w:rPr>
          <w:rFonts w:ascii="Arial" w:hAnsi="Arial" w:cs="Arial"/>
          <w:color w:val="000000"/>
          <w:sz w:val="18"/>
          <w:szCs w:val="18"/>
        </w:rPr>
      </w:pPr>
      <w:r>
        <w:rPr>
          <w:rFonts w:ascii="Arial" w:hAnsi="Arial" w:cs="Arial"/>
          <w:color w:val="000000"/>
          <w:sz w:val="18"/>
          <w:szCs w:val="18"/>
        </w:rPr>
        <w:t>- Représentation graphique de fonctions simples (offre, demande, coût) et interprétation de leurs pentes et de leurs déplacements</w:t>
      </w:r>
      <w:bookmarkStart w:id="0" w:name="_GoBack"/>
      <w:bookmarkEnd w:id="0"/>
    </w:p>
    <w:p w:rsidR="00977C9A" w:rsidRDefault="00977C9A" w:rsidP="00977C9A">
      <w:pPr>
        <w:pStyle w:val="NormalWeb"/>
        <w:shd w:val="clear" w:color="auto" w:fill="FFFFFF"/>
        <w:spacing w:before="0" w:beforeAutospacing="0" w:after="0" w:afterAutospacing="0"/>
        <w:ind w:left="-567"/>
        <w:rPr>
          <w:rFonts w:ascii="Arial" w:hAnsi="Arial" w:cs="Arial"/>
          <w:color w:val="000000"/>
          <w:sz w:val="18"/>
          <w:szCs w:val="18"/>
        </w:rPr>
      </w:pPr>
      <w:r>
        <w:rPr>
          <w:rFonts w:ascii="Arial" w:hAnsi="Arial" w:cs="Arial"/>
          <w:color w:val="000000"/>
          <w:sz w:val="18"/>
          <w:szCs w:val="18"/>
        </w:rPr>
        <w:t>- Notion d'élasticité comme rapport d'accroissements relatifs. Notions d'élasticité-prix de la demande et de l'offre, d'élasticité-revenu de la demande</w:t>
      </w:r>
    </w:p>
    <w:p w:rsidR="00977C9A" w:rsidRDefault="00977C9A" w:rsidP="00977C9A">
      <w:pPr>
        <w:ind w:left="-567"/>
      </w:pPr>
    </w:p>
    <w:sectPr w:rsidR="00977C9A" w:rsidSect="00977C9A">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71D"/>
    <w:rsid w:val="003A6AA4"/>
    <w:rsid w:val="005F5393"/>
    <w:rsid w:val="0094071D"/>
    <w:rsid w:val="00977C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77C9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itre">
    <w:name w:val="stitre"/>
    <w:basedOn w:val="Policepardfaut"/>
    <w:rsid w:val="00977C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77C9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itre">
    <w:name w:val="stitre"/>
    <w:basedOn w:val="Policepardfaut"/>
    <w:rsid w:val="00977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280070">
      <w:bodyDiv w:val="1"/>
      <w:marLeft w:val="0"/>
      <w:marRight w:val="0"/>
      <w:marTop w:val="0"/>
      <w:marBottom w:val="0"/>
      <w:divBdr>
        <w:top w:val="none" w:sz="0" w:space="0" w:color="auto"/>
        <w:left w:val="none" w:sz="0" w:space="0" w:color="auto"/>
        <w:bottom w:val="none" w:sz="0" w:space="0" w:color="auto"/>
        <w:right w:val="none" w:sz="0" w:space="0" w:color="auto"/>
      </w:divBdr>
      <w:divsChild>
        <w:div w:id="980038681">
          <w:marLeft w:val="0"/>
          <w:marRight w:val="0"/>
          <w:marTop w:val="0"/>
          <w:marBottom w:val="0"/>
          <w:divBdr>
            <w:top w:val="none" w:sz="0" w:space="0" w:color="auto"/>
            <w:left w:val="none" w:sz="0" w:space="0" w:color="auto"/>
            <w:bottom w:val="none" w:sz="0" w:space="0" w:color="auto"/>
            <w:right w:val="none" w:sz="0" w:space="0" w:color="auto"/>
          </w:divBdr>
        </w:div>
        <w:div w:id="1771124847">
          <w:marLeft w:val="0"/>
          <w:marRight w:val="0"/>
          <w:marTop w:val="0"/>
          <w:marBottom w:val="0"/>
          <w:divBdr>
            <w:top w:val="none" w:sz="0" w:space="0" w:color="auto"/>
            <w:left w:val="none" w:sz="0" w:space="0" w:color="auto"/>
            <w:bottom w:val="none" w:sz="0" w:space="0" w:color="auto"/>
            <w:right w:val="none" w:sz="0" w:space="0" w:color="auto"/>
          </w:divBdr>
        </w:div>
        <w:div w:id="376198783">
          <w:marLeft w:val="0"/>
          <w:marRight w:val="0"/>
          <w:marTop w:val="0"/>
          <w:marBottom w:val="0"/>
          <w:divBdr>
            <w:top w:val="none" w:sz="0" w:space="0" w:color="auto"/>
            <w:left w:val="none" w:sz="0" w:space="0" w:color="auto"/>
            <w:bottom w:val="none" w:sz="0" w:space="0" w:color="auto"/>
            <w:right w:val="none" w:sz="0" w:space="0" w:color="auto"/>
          </w:divBdr>
        </w:div>
        <w:div w:id="1815677889">
          <w:marLeft w:val="0"/>
          <w:marRight w:val="0"/>
          <w:marTop w:val="0"/>
          <w:marBottom w:val="0"/>
          <w:divBdr>
            <w:top w:val="none" w:sz="0" w:space="0" w:color="auto"/>
            <w:left w:val="none" w:sz="0" w:space="0" w:color="auto"/>
            <w:bottom w:val="none" w:sz="0" w:space="0" w:color="auto"/>
            <w:right w:val="none" w:sz="0" w:space="0" w:color="auto"/>
          </w:divBdr>
        </w:div>
        <w:div w:id="656543686">
          <w:marLeft w:val="0"/>
          <w:marRight w:val="0"/>
          <w:marTop w:val="0"/>
          <w:marBottom w:val="0"/>
          <w:divBdr>
            <w:top w:val="none" w:sz="0" w:space="0" w:color="auto"/>
            <w:left w:val="none" w:sz="0" w:space="0" w:color="auto"/>
            <w:bottom w:val="none" w:sz="0" w:space="0" w:color="auto"/>
            <w:right w:val="none" w:sz="0" w:space="0" w:color="auto"/>
          </w:divBdr>
        </w:div>
      </w:divsChild>
    </w:div>
    <w:div w:id="175728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2801</Words>
  <Characters>15408</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Franck</dc:creator>
  <cp:lastModifiedBy>Franck</cp:lastModifiedBy>
  <cp:revision>3</cp:revision>
  <dcterms:created xsi:type="dcterms:W3CDTF">2015-05-01T09:05:00Z</dcterms:created>
  <dcterms:modified xsi:type="dcterms:W3CDTF">2015-05-01T09:12:00Z</dcterms:modified>
</cp:coreProperties>
</file>