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79" w:rsidRPr="009B68EB" w:rsidRDefault="00143279" w:rsidP="00B51EF0">
      <w:pPr>
        <w:pStyle w:val="Sansinterligne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9B68EB">
        <w:rPr>
          <w:rFonts w:ascii="Times New Roman" w:hAnsi="Times New Roman" w:cs="Times New Roman"/>
          <w:b/>
          <w:i/>
          <w:color w:val="FF0000"/>
          <w:sz w:val="24"/>
          <w:szCs w:val="24"/>
        </w:rPr>
        <w:t> </w:t>
      </w:r>
    </w:p>
    <w:p w:rsidR="00143279" w:rsidRDefault="00143279" w:rsidP="00143279">
      <w:pPr>
        <w:pStyle w:val="Sansinterligne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3279" w:rsidRDefault="00143279" w:rsidP="00143279">
      <w:pPr>
        <w:pStyle w:val="Sansinterligne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3279" w:rsidRPr="00A31214" w:rsidRDefault="00143279" w:rsidP="00143279">
      <w:pPr>
        <w:pStyle w:val="Sansinterligne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3279" w:rsidRPr="00A31214" w:rsidRDefault="00143279" w:rsidP="00143279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214">
        <w:rPr>
          <w:rFonts w:ascii="Times New Roman" w:hAnsi="Times New Roman" w:cs="Times New Roman"/>
          <w:b/>
          <w:i/>
          <w:sz w:val="24"/>
          <w:szCs w:val="24"/>
        </w:rPr>
        <w:t>Séance 1 : Indices et Consommation de pétrole</w:t>
      </w:r>
    </w:p>
    <w:p w:rsidR="00143279" w:rsidRPr="00A31214" w:rsidRDefault="00143279" w:rsidP="00143279">
      <w:pPr>
        <w:pStyle w:val="Sansinterligne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3279" w:rsidRPr="00A31214" w:rsidRDefault="00143279" w:rsidP="00143279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(Exercices et graphiques issus du Manuel de Mathématiques de 1</w:t>
      </w:r>
      <w:r w:rsidRPr="00A31214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A31214">
        <w:rPr>
          <w:rFonts w:ascii="Times New Roman" w:hAnsi="Times New Roman" w:cs="Times New Roman"/>
          <w:sz w:val="24"/>
          <w:szCs w:val="24"/>
        </w:rPr>
        <w:t xml:space="preserve"> ES,</w:t>
      </w:r>
    </w:p>
    <w:p w:rsidR="00143279" w:rsidRDefault="00143279" w:rsidP="00143279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 xml:space="preserve"> Editions Bordas, 2011)</w:t>
      </w:r>
    </w:p>
    <w:p w:rsidR="00143279" w:rsidRPr="00A31214" w:rsidRDefault="00143279" w:rsidP="00143279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143279" w:rsidRPr="000311B0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11B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4095015" wp14:editId="64521576">
            <wp:simplePos x="4699000" y="2631440"/>
            <wp:positionH relativeFrom="margin">
              <wp:align>right</wp:align>
            </wp:positionH>
            <wp:positionV relativeFrom="margin">
              <wp:align>top</wp:align>
            </wp:positionV>
            <wp:extent cx="2647950" cy="18383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47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279" w:rsidRPr="000311B0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11B0">
        <w:rPr>
          <w:rFonts w:ascii="Times New Roman" w:hAnsi="Times New Roman" w:cs="Times New Roman"/>
          <w:sz w:val="24"/>
          <w:szCs w:val="24"/>
        </w:rPr>
        <w:t xml:space="preserve">Le graphique ci-contre donne la consommation moyenne de pétrole en France et aux Etats-Unis en milliers de barils par jour de 2005 à 2008 : </w:t>
      </w:r>
    </w:p>
    <w:p w:rsidR="00143279" w:rsidRPr="000311B0" w:rsidRDefault="00143279" w:rsidP="00143279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143279" w:rsidRPr="000311B0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3279" w:rsidRPr="000311B0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3279" w:rsidRPr="000311B0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11B0">
        <w:rPr>
          <w:rFonts w:ascii="Times New Roman" w:hAnsi="Times New Roman" w:cs="Times New Roman"/>
          <w:sz w:val="24"/>
          <w:szCs w:val="24"/>
        </w:rPr>
        <w:t>L'objectif de cet exercice est de comparer l'évolution de la consommation dans ces deux pays.</w:t>
      </w:r>
    </w:p>
    <w:p w:rsidR="00143279" w:rsidRPr="000311B0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Que nous indique, à première vue, ce graphique ?</w:t>
      </w:r>
    </w:p>
    <w:p w:rsidR="00143279" w:rsidRPr="00A31214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 xml:space="preserve">Un autre outil peut être utilisé pour comparer des évolutions : </w:t>
      </w:r>
      <w:r w:rsidRPr="00A31214">
        <w:rPr>
          <w:rFonts w:ascii="Times New Roman" w:hAnsi="Times New Roman" w:cs="Times New Roman"/>
          <w:i/>
          <w:sz w:val="24"/>
          <w:szCs w:val="24"/>
        </w:rPr>
        <w:t>l'indice</w:t>
      </w:r>
      <w:r w:rsidRPr="00A31214">
        <w:rPr>
          <w:rFonts w:ascii="Times New Roman" w:hAnsi="Times New Roman" w:cs="Times New Roman"/>
          <w:sz w:val="24"/>
          <w:szCs w:val="24"/>
        </w:rPr>
        <w:t>.</w:t>
      </w:r>
    </w:p>
    <w:p w:rsidR="00143279" w:rsidRPr="00A31214" w:rsidRDefault="00143279" w:rsidP="0014327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Pour cela, on prend l'année 2005 comme référence pour chaque pays : On associe à la consommation en 2005 pour chaque pays le nombre 100 et on associe aux autres années des nombres proportionnels à la consommation. Ces nombres sont appelés indice base 100 en 2005.</w:t>
      </w:r>
    </w:p>
    <w:p w:rsidR="00143279" w:rsidRPr="00A31214" w:rsidRDefault="00143279" w:rsidP="0014327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Calculer pour la France l'indice de l'année 2006 (résultat arrondi à 0,1 près)</w:t>
      </w:r>
    </w:p>
    <w:p w:rsidR="00143279" w:rsidRPr="00A31214" w:rsidRDefault="00143279" w:rsidP="00143279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Compléter le tableau donnant les indices base 100 en 2005 pour France et les Etats-Unis.</w:t>
      </w:r>
    </w:p>
    <w:p w:rsidR="00143279" w:rsidRPr="00A31214" w:rsidRDefault="00143279" w:rsidP="0014327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1134"/>
      </w:tblGrid>
      <w:tr w:rsidR="00143279" w:rsidRPr="00A31214" w:rsidTr="00465117">
        <w:trPr>
          <w:trHeight w:val="454"/>
          <w:jc w:val="center"/>
        </w:trPr>
        <w:tc>
          <w:tcPr>
            <w:tcW w:w="138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Année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143279" w:rsidRPr="00A31214" w:rsidTr="00465117">
        <w:trPr>
          <w:trHeight w:val="454"/>
          <w:jc w:val="center"/>
        </w:trPr>
        <w:tc>
          <w:tcPr>
            <w:tcW w:w="138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79" w:rsidRPr="00A31214" w:rsidTr="00465117">
        <w:trPr>
          <w:trHeight w:val="454"/>
          <w:jc w:val="center"/>
        </w:trPr>
        <w:tc>
          <w:tcPr>
            <w:tcW w:w="138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Etats-Unis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3279" w:rsidRPr="00A31214" w:rsidRDefault="00143279" w:rsidP="0046511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279" w:rsidRPr="00A31214" w:rsidRDefault="00143279" w:rsidP="0014327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 xml:space="preserve">Représenter sur un même graphique ces indices des deux pays : </w:t>
      </w:r>
    </w:p>
    <w:p w:rsidR="00143279" w:rsidRPr="00A31214" w:rsidRDefault="00143279" w:rsidP="00143279">
      <w:pPr>
        <w:pStyle w:val="Sansinterligne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 xml:space="preserve">On prendra 1 cm pour représenter une unité d'indice et l'origine correspondra au </w:t>
      </w:r>
      <w:proofErr w:type="gramStart"/>
      <w:r w:rsidRPr="00A31214">
        <w:rPr>
          <w:rFonts w:ascii="Times New Roman" w:hAnsi="Times New Roman" w:cs="Times New Roman"/>
          <w:sz w:val="24"/>
          <w:szCs w:val="24"/>
        </w:rPr>
        <w:t xml:space="preserve">point 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2005 ;100</m:t>
            </m:r>
          </m:e>
        </m:d>
      </m:oMath>
      <w:r w:rsidRPr="00A3121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3279" w:rsidRPr="00A31214" w:rsidRDefault="00143279" w:rsidP="00143279">
      <w:pPr>
        <w:pStyle w:val="Sansinterligne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14">
        <w:rPr>
          <w:rFonts w:ascii="Times New Roman" w:eastAsiaTheme="minorEastAsia" w:hAnsi="Times New Roman" w:cs="Times New Roman"/>
          <w:sz w:val="24"/>
          <w:szCs w:val="24"/>
        </w:rPr>
        <w:t>Quelles informations peut-on tirer de ce graphique ?</w:t>
      </w:r>
    </w:p>
    <w:p w:rsidR="00143279" w:rsidRPr="00A31214" w:rsidRDefault="00143279" w:rsidP="00143279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Quel est le pourcentage d'évolution de la consommation en France et aux Etats</w:t>
      </w:r>
      <w:r>
        <w:rPr>
          <w:rFonts w:ascii="Times New Roman" w:hAnsi="Times New Roman" w:cs="Times New Roman"/>
          <w:sz w:val="24"/>
          <w:szCs w:val="24"/>
        </w:rPr>
        <w:t>-U</w:t>
      </w:r>
      <w:r w:rsidRPr="00A31214">
        <w:rPr>
          <w:rFonts w:ascii="Times New Roman" w:hAnsi="Times New Roman" w:cs="Times New Roman"/>
          <w:sz w:val="24"/>
          <w:szCs w:val="24"/>
        </w:rPr>
        <w:t>nis de 2005 à 2008 ?</w:t>
      </w:r>
    </w:p>
    <w:p w:rsidR="00143279" w:rsidRPr="00A31214" w:rsidRDefault="00143279" w:rsidP="0014327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Pr="00A31214" w:rsidRDefault="00143279" w:rsidP="0014327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 xml:space="preserve">Supposons que le graphique suivant représente les évolutions successives en pourcentage de la consommation de pétrole de la Suède entre 2006 et 2011. A la fin de l'année 2006, la consommation a augmenté de 5 % par rapport à l'année 2005 : </w:t>
      </w:r>
    </w:p>
    <w:p w:rsidR="00143279" w:rsidRPr="000311B0" w:rsidRDefault="00143279" w:rsidP="00143279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0311B0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34908553" wp14:editId="275798E5">
            <wp:extent cx="2971362" cy="175260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62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79" w:rsidRPr="00A31214" w:rsidRDefault="00143279" w:rsidP="00143279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Donner une interprétation en terme de pourcentages des points A et B du graphique.</w:t>
      </w:r>
    </w:p>
    <w:p w:rsidR="00143279" w:rsidRPr="00A31214" w:rsidRDefault="00143279" w:rsidP="00143279">
      <w:pPr>
        <w:pStyle w:val="Sansinterlign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Peut-on dire que la consommation a constamment baissé de fin 2005 à fin 2009 ?</w:t>
      </w:r>
    </w:p>
    <w:p w:rsidR="00143279" w:rsidRPr="00A31214" w:rsidRDefault="00143279" w:rsidP="001432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3279" w:rsidRPr="008C4033" w:rsidRDefault="00143279" w:rsidP="00143279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40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Analyse </w:t>
      </w:r>
      <w:r w:rsidRPr="004F6B8D">
        <w:rPr>
          <w:rFonts w:ascii="Times New Roman" w:hAnsi="Times New Roman" w:cs="Times New Roman"/>
          <w:b/>
          <w:i/>
          <w:color w:val="FF0000"/>
          <w:sz w:val="24"/>
          <w:szCs w:val="24"/>
        </w:rPr>
        <w:t>a postériori</w:t>
      </w:r>
      <w:r w:rsidRPr="008C40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143279" w:rsidRPr="00A31214" w:rsidRDefault="00143279" w:rsidP="0014327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214">
        <w:rPr>
          <w:rFonts w:ascii="Times New Roman" w:hAnsi="Times New Roman" w:cs="Times New Roman"/>
          <w:b/>
          <w:sz w:val="24"/>
          <w:szCs w:val="24"/>
        </w:rPr>
        <w:t>Séance 1 :</w:t>
      </w:r>
    </w:p>
    <w:p w:rsidR="00143279" w:rsidRPr="00A31214" w:rsidRDefault="00143279" w:rsidP="00143279">
      <w:p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sz w:val="24"/>
          <w:szCs w:val="24"/>
        </w:rPr>
        <w:t>Cette séance peut être proposée en fin de 2</w:t>
      </w:r>
      <w:r w:rsidRPr="00A31214">
        <w:rPr>
          <w:rFonts w:ascii="Times New Roman" w:hAnsi="Times New Roman" w:cs="Times New Roman"/>
          <w:sz w:val="24"/>
          <w:szCs w:val="24"/>
          <w:vertAlign w:val="superscript"/>
        </w:rPr>
        <w:t>nde</w:t>
      </w:r>
      <w:r w:rsidRPr="00A31214">
        <w:rPr>
          <w:rFonts w:ascii="Times New Roman" w:hAnsi="Times New Roman" w:cs="Times New Roman"/>
          <w:sz w:val="24"/>
          <w:szCs w:val="24"/>
        </w:rPr>
        <w:t xml:space="preserve"> ou en début de 1ES. </w:t>
      </w:r>
    </w:p>
    <w:p w:rsidR="00143279" w:rsidRPr="00A31214" w:rsidRDefault="00143279" w:rsidP="00143279">
      <w:pPr>
        <w:jc w:val="both"/>
        <w:rPr>
          <w:rFonts w:ascii="Times New Roman" w:hAnsi="Times New Roman" w:cs="Times New Roman"/>
          <w:sz w:val="24"/>
          <w:szCs w:val="24"/>
        </w:rPr>
      </w:pPr>
      <w:r w:rsidRPr="00A31214">
        <w:rPr>
          <w:rFonts w:ascii="Times New Roman" w:hAnsi="Times New Roman" w:cs="Times New Roman"/>
          <w:b/>
          <w:sz w:val="24"/>
          <w:szCs w:val="24"/>
        </w:rPr>
        <w:t>Objectif de la séance</w:t>
      </w:r>
      <w:r w:rsidRPr="00A3121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43279" w:rsidRPr="00A31214" w:rsidRDefault="00143279" w:rsidP="0014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1214">
        <w:rPr>
          <w:rFonts w:ascii="Times New Roman" w:hAnsi="Times New Roman" w:cs="Times New Roman"/>
          <w:sz w:val="24"/>
          <w:szCs w:val="24"/>
        </w:rPr>
        <w:t>Découverte de la notion d'indice tout en retravaillant celle de pourcentages d'évolution. Faire le lien entre ces deux notions grâce aux mathématiques</w:t>
      </w:r>
    </w:p>
    <w:p w:rsidR="00143279" w:rsidRPr="00A31214" w:rsidRDefault="00143279" w:rsidP="0014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1214">
        <w:rPr>
          <w:rFonts w:ascii="Times New Roman" w:hAnsi="Times New Roman" w:cs="Times New Roman"/>
          <w:sz w:val="24"/>
          <w:szCs w:val="24"/>
        </w:rPr>
        <w:t xml:space="preserve">Donner du sens à ces outils en montrant leur </w:t>
      </w:r>
      <w:r w:rsidRPr="006C3760">
        <w:rPr>
          <w:rFonts w:ascii="Times New Roman" w:hAnsi="Times New Roman" w:cs="Times New Roman"/>
          <w:color w:val="00B050"/>
          <w:sz w:val="24"/>
          <w:szCs w:val="24"/>
        </w:rPr>
        <w:t xml:space="preserve">intérêt face à des problématiques économiques </w:t>
      </w:r>
      <w:r w:rsidRPr="00A31214">
        <w:rPr>
          <w:rFonts w:ascii="Times New Roman" w:hAnsi="Times New Roman" w:cs="Times New Roman"/>
          <w:sz w:val="24"/>
          <w:szCs w:val="24"/>
        </w:rPr>
        <w:t>et en les comparant.</w:t>
      </w:r>
    </w:p>
    <w:p w:rsidR="00143279" w:rsidRDefault="00143279" w:rsidP="00143279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1214">
        <w:rPr>
          <w:rFonts w:ascii="Times New Roman" w:hAnsi="Times New Roman" w:cs="Times New Roman"/>
          <w:sz w:val="24"/>
          <w:szCs w:val="24"/>
        </w:rPr>
        <w:t>Développer l'esprit critique face aux graphiques.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760">
        <w:rPr>
          <w:rFonts w:ascii="Times New Roman" w:hAnsi="Times New Roman" w:cs="Times New Roman"/>
          <w:color w:val="00B050"/>
          <w:sz w:val="24"/>
          <w:szCs w:val="24"/>
        </w:rPr>
        <w:t>S’interroger sur les limites des savoir-faire quantitatifs</w:t>
      </w:r>
    </w:p>
    <w:p w:rsidR="00143279" w:rsidRPr="006C3760" w:rsidRDefault="00143279" w:rsidP="00143279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-Eviter certaines erreurs classiques quant à la lecture de graphiques </w:t>
      </w:r>
    </w:p>
    <w:p w:rsidR="00143279" w:rsidRDefault="00143279" w:rsidP="001432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279" w:rsidRPr="002E1797" w:rsidRDefault="00143279" w:rsidP="00143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97">
        <w:rPr>
          <w:rFonts w:ascii="Times New Roman" w:hAnsi="Times New Roman" w:cs="Times New Roman"/>
          <w:b/>
          <w:sz w:val="24"/>
          <w:szCs w:val="24"/>
        </w:rPr>
        <w:t xml:space="preserve">L'activité : </w:t>
      </w:r>
    </w:p>
    <w:p w:rsidR="00143279" w:rsidRPr="002E1797" w:rsidRDefault="00143279" w:rsidP="0014327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797">
        <w:rPr>
          <w:rFonts w:ascii="Times New Roman" w:hAnsi="Times New Roman" w:cs="Times New Roman"/>
          <w:sz w:val="24"/>
          <w:szCs w:val="24"/>
        </w:rPr>
        <w:t xml:space="preserve">Graphique peu précis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 xml:space="preserve">lorsqu’on s’attache à regarder </w:t>
      </w:r>
      <w:r w:rsidRPr="002E1797">
        <w:rPr>
          <w:rFonts w:ascii="Times New Roman" w:hAnsi="Times New Roman" w:cs="Times New Roman"/>
          <w:sz w:val="24"/>
          <w:szCs w:val="24"/>
        </w:rPr>
        <w:t>les valeurs absolues. Les évolutions de la France ne sont que guère visibles.</w:t>
      </w:r>
    </w:p>
    <w:p w:rsidR="00143279" w:rsidRPr="00C86370" w:rsidRDefault="00143279" w:rsidP="0014327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370">
        <w:rPr>
          <w:rFonts w:ascii="Times New Roman" w:hAnsi="Times New Roman" w:cs="Times New Roman"/>
          <w:sz w:val="24"/>
          <w:szCs w:val="24"/>
        </w:rPr>
        <w:t xml:space="preserve">Introduction de l'indice : les élèves sont amenés à chercher, </w:t>
      </w:r>
      <w:r w:rsidRPr="00C86370">
        <w:rPr>
          <w:rFonts w:ascii="Times New Roman" w:hAnsi="Times New Roman" w:cs="Times New Roman"/>
          <w:color w:val="00B050"/>
          <w:sz w:val="24"/>
          <w:szCs w:val="24"/>
        </w:rPr>
        <w:t>trouver par eux-mêmes le calcul, par déduction</w:t>
      </w:r>
      <w:r w:rsidRPr="00C86370">
        <w:rPr>
          <w:rFonts w:ascii="Times New Roman" w:hAnsi="Times New Roman" w:cs="Times New Roman"/>
          <w:sz w:val="24"/>
          <w:szCs w:val="24"/>
        </w:rPr>
        <w:t xml:space="preserve">. </w:t>
      </w:r>
      <w:r w:rsidRPr="00C86370">
        <w:rPr>
          <w:rFonts w:ascii="Times New Roman" w:hAnsi="Times New Roman" w:cs="Times New Roman"/>
          <w:color w:val="00B050"/>
          <w:sz w:val="24"/>
          <w:szCs w:val="24"/>
        </w:rPr>
        <w:t>Ils vont le plus souvent commencer par amener leur formule sous forme d’un produit en croix</w:t>
      </w:r>
      <w:r w:rsidRPr="00C86370">
        <w:rPr>
          <w:rFonts w:ascii="Times New Roman" w:hAnsi="Times New Roman" w:cs="Times New Roman"/>
          <w:sz w:val="24"/>
          <w:szCs w:val="24"/>
        </w:rPr>
        <w:t xml:space="preserve">. On s'attachera à mettre en évidence et à justifier (grâce aux mathématiques) la formule mise en place en SES à </w:t>
      </w:r>
      <w:r w:rsidRPr="00C86370">
        <w:rPr>
          <w:rFonts w:ascii="Times New Roman" w:hAnsi="Times New Roman" w:cs="Times New Roman"/>
          <w:color w:val="00B050"/>
          <w:sz w:val="24"/>
          <w:szCs w:val="24"/>
        </w:rPr>
        <w:t xml:space="preserve">savoir </w:t>
      </w:r>
      <w:r w:rsidRPr="00C86370">
        <w:rPr>
          <w:rFonts w:eastAsiaTheme="minorEastAsia"/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18"/>
            <w:szCs w:val="18"/>
          </w:rPr>
          <m:t>i=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50"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8"/>
                <w:szCs w:val="18"/>
              </w:rPr>
              <m:t>VA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18"/>
                <w:szCs w:val="18"/>
              </w:rPr>
              <m:t>VD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B050"/>
            <w:sz w:val="18"/>
            <w:szCs w:val="18"/>
          </w:rPr>
          <m:t>×</m:t>
        </m:r>
        <m:r>
          <m:rPr>
            <m:sty m:val="b"/>
          </m:rPr>
          <w:rPr>
            <w:rFonts w:ascii="Cambria Math" w:eastAsiaTheme="minorEastAsia" w:hAnsi="Cambria Math"/>
            <w:color w:val="00B050"/>
            <w:sz w:val="18"/>
            <w:szCs w:val="18"/>
          </w:rPr>
          <m:t>100</m:t>
        </m:r>
      </m:oMath>
    </w:p>
    <w:p w:rsidR="00143279" w:rsidRPr="00C86370" w:rsidRDefault="00143279" w:rsidP="0014327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370">
        <w:rPr>
          <w:rFonts w:ascii="Times New Roman" w:hAnsi="Times New Roman" w:cs="Times New Roman"/>
          <w:sz w:val="24"/>
          <w:szCs w:val="24"/>
        </w:rPr>
        <w:t>Application, utilisation de la formule donnée en SES en prenant garde de bien conserver la bonne année  comme indice base 100</w:t>
      </w:r>
      <w:r w:rsidRPr="00C86370">
        <w:rPr>
          <w:rFonts w:ascii="Times New Roman" w:hAnsi="Times New Roman" w:cs="Times New Roman"/>
          <w:color w:val="00B050"/>
          <w:sz w:val="24"/>
          <w:szCs w:val="24"/>
        </w:rPr>
        <w:t>. Une erreur classique de l’élève, quand il utilise pour la première fois un indice est d’omettre cette base comme référence dans son calcul</w:t>
      </w:r>
      <w:r w:rsidRPr="00C86370">
        <w:rPr>
          <w:rFonts w:ascii="Times New Roman" w:hAnsi="Times New Roman" w:cs="Times New Roman"/>
          <w:sz w:val="24"/>
          <w:szCs w:val="24"/>
        </w:rPr>
        <w:t xml:space="preserve">. On veillera à donner du sens aux nombres trouvés en demandant à l'oral des traductions en phrases des nombres trouvés. </w:t>
      </w:r>
      <w:r w:rsidRPr="00C86370">
        <w:rPr>
          <w:rFonts w:ascii="Times New Roman" w:hAnsi="Times New Roman" w:cs="Times New Roman"/>
          <w:color w:val="00B050"/>
          <w:sz w:val="24"/>
          <w:szCs w:val="24"/>
        </w:rPr>
        <w:t>Le calcul d’un indice n’a pas de sens en lui-même, c’est son interprétation qui en donne toute sa pertinence</w:t>
      </w:r>
      <w:r w:rsidRPr="00C86370">
        <w:rPr>
          <w:rFonts w:ascii="Times New Roman" w:hAnsi="Times New Roman" w:cs="Times New Roman"/>
          <w:sz w:val="24"/>
          <w:szCs w:val="24"/>
        </w:rPr>
        <w:t>.</w:t>
      </w:r>
    </w:p>
    <w:p w:rsidR="00143279" w:rsidRPr="002E1797" w:rsidRDefault="00143279" w:rsidP="0014327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L'idée est de tracer ce nouveau</w:t>
      </w:r>
      <w:r w:rsidRPr="002E1797">
        <w:rPr>
          <w:rFonts w:ascii="Times New Roman" w:hAnsi="Times New Roman" w:cs="Times New Roman"/>
          <w:sz w:val="24"/>
          <w:szCs w:val="24"/>
        </w:rPr>
        <w:t xml:space="preserve"> graphique</w:t>
      </w:r>
      <w:r>
        <w:rPr>
          <w:rFonts w:ascii="Times New Roman" w:hAnsi="Times New Roman" w:cs="Times New Roman"/>
          <w:sz w:val="24"/>
          <w:szCs w:val="24"/>
        </w:rPr>
        <w:t xml:space="preserve"> qui</w:t>
      </w:r>
      <w:r w:rsidRPr="002E1797">
        <w:rPr>
          <w:rFonts w:ascii="Times New Roman" w:hAnsi="Times New Roman" w:cs="Times New Roman"/>
          <w:sz w:val="24"/>
          <w:szCs w:val="24"/>
        </w:rPr>
        <w:t xml:space="preserve"> permet de mieux visualiser et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E1797">
        <w:rPr>
          <w:rFonts w:ascii="Times New Roman" w:hAnsi="Times New Roman" w:cs="Times New Roman"/>
          <w:sz w:val="24"/>
          <w:szCs w:val="24"/>
        </w:rPr>
        <w:t xml:space="preserve">mieux comparer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>l'évolution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grâce aux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>variables relatives. On soulignera ici l’intérêt de calculer des indices et surtout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de les présenter sous forme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>graphique pour une meilleure interprétation visuelle des résultats (comparaison avec le premier graphique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en valeur absolue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 : l’évolution en indice est beaucoup plus parlante, et moins trompeuse.</w:t>
      </w:r>
    </w:p>
    <w:p w:rsidR="00143279" w:rsidRPr="002E1797" w:rsidRDefault="00143279" w:rsidP="0014327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E1797">
        <w:rPr>
          <w:rFonts w:ascii="Times New Roman" w:hAnsi="Times New Roman" w:cs="Times New Roman"/>
          <w:sz w:val="24"/>
          <w:szCs w:val="24"/>
        </w:rPr>
        <w:t xml:space="preserve">Calcul d'un pourcentage d'évolution grâce à des outils mathématiques. Le lien sera fait entre la formule d'indice et la formule de taux d'évolution donnée en SES (justifiée mathématiquement).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>On explicite ainsi le triangle de passage et les formules « prête-à l’emploi » données généralement en SES sans explication de leur fondement. Une meilleure compréhension de l’origine du résultat permet une meilleure lecture du résultat.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Une lecture de chaque donnée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 xml:space="preserve">est bien sûr indispensable pour s’assurer </w:t>
      </w:r>
      <w:r>
        <w:rPr>
          <w:rFonts w:ascii="Times New Roman" w:hAnsi="Times New Roman" w:cs="Times New Roman"/>
          <w:color w:val="00B050"/>
          <w:sz w:val="24"/>
          <w:szCs w:val="24"/>
        </w:rPr>
        <w:t>de la maîtrise du sens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 xml:space="preserve"> et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de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 xml:space="preserve"> l’utilité de ce savoir</w:t>
      </w:r>
      <w:r>
        <w:rPr>
          <w:rFonts w:ascii="Times New Roman" w:hAnsi="Times New Roman" w:cs="Times New Roman"/>
          <w:color w:val="00B050"/>
          <w:sz w:val="24"/>
          <w:szCs w:val="24"/>
        </w:rPr>
        <w:t>-faire quantitatif.</w:t>
      </w:r>
    </w:p>
    <w:p w:rsidR="00143279" w:rsidRDefault="00143279" w:rsidP="0014327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E1797">
        <w:rPr>
          <w:rFonts w:ascii="Times New Roman" w:hAnsi="Times New Roman" w:cs="Times New Roman"/>
          <w:sz w:val="24"/>
          <w:szCs w:val="24"/>
        </w:rPr>
        <w:t xml:space="preserve">Le graphique est trompeur : l'objectif est de mettre en évidence que la décroissance de la courbe (celle du taux de variation) n'engendre pas la décroissance de la consommation. </w:t>
      </w:r>
      <w:r w:rsidRPr="002E1797">
        <w:rPr>
          <w:rFonts w:ascii="Times New Roman" w:hAnsi="Times New Roman" w:cs="Times New Roman"/>
          <w:color w:val="00B050"/>
          <w:sz w:val="24"/>
          <w:szCs w:val="24"/>
        </w:rPr>
        <w:t>On sensibilise ainsi les élèves sur des erreurs et pièges « classiques »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143279" w:rsidRDefault="00143279" w:rsidP="0014327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Default="00143279" w:rsidP="0014327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43279" w:rsidRPr="002E1797" w:rsidRDefault="00143279" w:rsidP="00143279">
      <w:pPr>
        <w:pStyle w:val="Paragraphedeliste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36640" w:rsidRDefault="00C36640"/>
    <w:sectPr w:rsidR="00C36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4C" w:rsidRDefault="0094324C" w:rsidP="004F6B8D">
      <w:pPr>
        <w:spacing w:after="0" w:line="240" w:lineRule="auto"/>
      </w:pPr>
      <w:r>
        <w:separator/>
      </w:r>
    </w:p>
  </w:endnote>
  <w:endnote w:type="continuationSeparator" w:id="0">
    <w:p w:rsidR="0094324C" w:rsidRDefault="0094324C" w:rsidP="004F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D" w:rsidRDefault="004F6B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D" w:rsidRDefault="004F6B8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D" w:rsidRDefault="004F6B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4C" w:rsidRDefault="0094324C" w:rsidP="004F6B8D">
      <w:pPr>
        <w:spacing w:after="0" w:line="240" w:lineRule="auto"/>
      </w:pPr>
      <w:r>
        <w:separator/>
      </w:r>
    </w:p>
  </w:footnote>
  <w:footnote w:type="continuationSeparator" w:id="0">
    <w:p w:rsidR="0094324C" w:rsidRDefault="0094324C" w:rsidP="004F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D" w:rsidRDefault="004F6B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D" w:rsidRDefault="004F6B8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D" w:rsidRDefault="004F6B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9D8"/>
    <w:multiLevelType w:val="hybridMultilevel"/>
    <w:tmpl w:val="D92E383C"/>
    <w:lvl w:ilvl="0" w:tplc="ABB246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B2DAC"/>
    <w:multiLevelType w:val="hybridMultilevel"/>
    <w:tmpl w:val="8946CF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1077"/>
    <w:multiLevelType w:val="hybridMultilevel"/>
    <w:tmpl w:val="CF300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80692"/>
    <w:multiLevelType w:val="hybridMultilevel"/>
    <w:tmpl w:val="37C022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9"/>
    <w:rsid w:val="000F7BE6"/>
    <w:rsid w:val="00143279"/>
    <w:rsid w:val="004F6B8D"/>
    <w:rsid w:val="0094324C"/>
    <w:rsid w:val="00B51EF0"/>
    <w:rsid w:val="00B95EBB"/>
    <w:rsid w:val="00C36640"/>
    <w:rsid w:val="00D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327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4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32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B8D"/>
  </w:style>
  <w:style w:type="paragraph" w:styleId="Pieddepage">
    <w:name w:val="footer"/>
    <w:basedOn w:val="Normal"/>
    <w:link w:val="PieddepageCar"/>
    <w:uiPriority w:val="99"/>
    <w:unhideWhenUsed/>
    <w:rsid w:val="004F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327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4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32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B8D"/>
  </w:style>
  <w:style w:type="paragraph" w:styleId="Pieddepage">
    <w:name w:val="footer"/>
    <w:basedOn w:val="Normal"/>
    <w:link w:val="PieddepageCar"/>
    <w:uiPriority w:val="99"/>
    <w:unhideWhenUsed/>
    <w:rsid w:val="004F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2017-04-27T07:18:00Z</dcterms:created>
  <dcterms:modified xsi:type="dcterms:W3CDTF">2017-04-27T07:25:00Z</dcterms:modified>
</cp:coreProperties>
</file>