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3B" w:rsidRPr="00BA653B" w:rsidRDefault="00BA653B" w:rsidP="00BA653B">
      <w:pPr>
        <w:jc w:val="left"/>
        <w:rPr>
          <w:rFonts w:ascii="Baskerville Old Face" w:eastAsia="Times New Roman" w:hAnsi="Baskerville Old Face" w:cs="Times New Roman"/>
          <w:sz w:val="40"/>
          <w:szCs w:val="40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40"/>
          <w:szCs w:val="40"/>
          <w:lang w:eastAsia="fr-FR"/>
        </w:rPr>
        <w:t xml:space="preserve">Violaine GIRARD </w:t>
      </w:r>
    </w:p>
    <w:p w:rsidR="00BA653B" w:rsidRPr="00BA653B" w:rsidRDefault="00BA653B" w:rsidP="00BA653B">
      <w:pPr>
        <w:jc w:val="left"/>
        <w:rPr>
          <w:rFonts w:ascii="Calibri" w:eastAsia="Times New Roman" w:hAnsi="Calibri" w:cs="Calibri"/>
          <w:color w:val="808080"/>
          <w:sz w:val="20"/>
          <w:szCs w:val="20"/>
          <w:lang w:eastAsia="fr-FR"/>
        </w:rPr>
      </w:pPr>
      <w:r w:rsidRPr="00BA653B">
        <w:rPr>
          <w:rFonts w:ascii="Calibri" w:eastAsia="Times New Roman" w:hAnsi="Calibri" w:cs="Calibri"/>
          <w:color w:val="808080"/>
          <w:sz w:val="20"/>
          <w:szCs w:val="20"/>
          <w:lang w:eastAsia="fr-FR"/>
        </w:rPr>
        <w:t>mardi 3 octobre 2017</w:t>
      </w:r>
    </w:p>
    <w:p w:rsidR="00BA653B" w:rsidRPr="00BA653B" w:rsidRDefault="00BA653B" w:rsidP="00BA653B">
      <w:pPr>
        <w:jc w:val="left"/>
        <w:rPr>
          <w:rFonts w:ascii="Calibri" w:eastAsia="Times New Roman" w:hAnsi="Calibri" w:cs="Calibri"/>
          <w:color w:val="808080"/>
          <w:sz w:val="20"/>
          <w:szCs w:val="20"/>
          <w:lang w:eastAsia="fr-FR"/>
        </w:rPr>
      </w:pPr>
    </w:p>
    <w:p w:rsidR="00BA653B" w:rsidRPr="00BA653B" w:rsidRDefault="00BA653B" w:rsidP="00BA653B">
      <w:pPr>
        <w:jc w:val="left"/>
        <w:rPr>
          <w:rFonts w:ascii="Calibri" w:eastAsia="Times New Roman" w:hAnsi="Calibri" w:cs="Calibri"/>
          <w:color w:val="1E4E79"/>
          <w:sz w:val="32"/>
          <w:szCs w:val="32"/>
          <w:lang w:eastAsia="fr-FR"/>
        </w:rPr>
      </w:pPr>
      <w:r w:rsidRPr="00BA653B">
        <w:rPr>
          <w:rFonts w:ascii="Calibri" w:eastAsia="Times New Roman" w:hAnsi="Calibri" w:cs="Calibri"/>
          <w:color w:val="1E4E79"/>
          <w:sz w:val="32"/>
          <w:szCs w:val="32"/>
          <w:lang w:eastAsia="fr-FR"/>
        </w:rPr>
        <w:t xml:space="preserve">Classes populaires, territoires périurbains, droitisation et votes FN </w:t>
      </w:r>
    </w:p>
    <w:p w:rsidR="00BA653B" w:rsidRPr="00BA653B" w:rsidRDefault="00BA653B" w:rsidP="00BA653B">
      <w:pPr>
        <w:jc w:val="left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BA653B">
      <w:pPr>
        <w:jc w:val="left"/>
        <w:rPr>
          <w:rFonts w:ascii="Calibri" w:eastAsia="Times New Roman" w:hAnsi="Calibri" w:cs="Calibri"/>
          <w:color w:val="2E75B5"/>
          <w:sz w:val="28"/>
          <w:szCs w:val="28"/>
          <w:lang w:eastAsia="fr-FR"/>
        </w:rPr>
      </w:pPr>
      <w:r w:rsidRPr="00BA653B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>INTRODUCTION</w:t>
      </w:r>
    </w:p>
    <w:p w:rsidR="00BA653B" w:rsidRPr="00BA653B" w:rsidRDefault="00BA653B" w:rsidP="00BA653B">
      <w:pPr>
        <w:jc w:val="left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À partir des classes populaires, quelles recompositions contemporaines ?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Une démarche autour d'une enquête de terrain au croisement de la sociologie des classes et électorale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Un sujet très prisé des médias qui permet de partir des représentations - </w:t>
      </w:r>
    </w:p>
    <w:p w:rsidR="00BA653B" w:rsidRPr="00BA653B" w:rsidRDefault="00BA653B" w:rsidP="000D4ED5">
      <w:pPr>
        <w:numPr>
          <w:ilvl w:val="0"/>
          <w:numId w:val="1"/>
        </w:numPr>
        <w:ind w:left="12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Présentation d'un ouvrage : </w:t>
      </w:r>
      <w:r w:rsidR="000D4ED5">
        <w:rPr>
          <w:rFonts w:ascii="Baskerville Old Face" w:eastAsia="Times New Roman" w:hAnsi="Baskerville Old Face" w:cs="Times New Roman"/>
          <w:i/>
          <w:sz w:val="24"/>
          <w:szCs w:val="24"/>
          <w:lang w:eastAsia="fr-FR"/>
        </w:rPr>
        <w:t>L</w:t>
      </w:r>
      <w:r w:rsidRPr="00244F76">
        <w:rPr>
          <w:rFonts w:ascii="Baskerville Old Face" w:eastAsia="Times New Roman" w:hAnsi="Baskerville Old Face" w:cs="Times New Roman"/>
          <w:i/>
          <w:sz w:val="24"/>
          <w:szCs w:val="24"/>
          <w:lang w:eastAsia="fr-FR"/>
        </w:rPr>
        <w:t>e vote FN au village</w:t>
      </w:r>
      <w:r w:rsidR="00244F76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, 2016 </w:t>
      </w: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(chapitre 1 à 5 : présentation du territoire et des trajectoires) </w:t>
      </w:r>
    </w:p>
    <w:p w:rsidR="00BA653B" w:rsidRPr="00BA653B" w:rsidRDefault="00BA653B" w:rsidP="000D4ED5">
      <w:pPr>
        <w:numPr>
          <w:ilvl w:val="0"/>
          <w:numId w:val="1"/>
        </w:numPr>
        <w:ind w:left="12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Enjeu : revenir sur l'image des catégories populaires à la périphérie des villes et associées au vote FN - une fronde sociale des ménages modestes frustrés - des discours peu précis sur les conditions de vie et les conditions de travail - </w:t>
      </w:r>
    </w:p>
    <w:p w:rsidR="00BA653B" w:rsidRPr="00BA653B" w:rsidRDefault="00BA653B" w:rsidP="000D4ED5">
      <w:pPr>
        <w:numPr>
          <w:ilvl w:val="0"/>
          <w:numId w:val="1"/>
        </w:numPr>
        <w:ind w:left="1260"/>
        <w:textAlignment w:val="center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Une enquête menée de 2003 et 2012 - entretiens ethnographiques sur l'installation en périurbain - il s'agit de </w:t>
      </w:r>
      <w:proofErr w:type="spellStart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réencastrer</w:t>
      </w:r>
      <w:proofErr w:type="spellEnd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la formation des processus politiques et l'habitat et les conditions sociales d'existence -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94756A" w:rsidRDefault="00BA653B" w:rsidP="000D4ED5">
      <w:pPr>
        <w:pStyle w:val="Paragraphedeliste"/>
        <w:numPr>
          <w:ilvl w:val="0"/>
          <w:numId w:val="11"/>
        </w:numPr>
        <w:textAlignment w:val="center"/>
        <w:rPr>
          <w:rFonts w:ascii="Calibri" w:eastAsia="Times New Roman" w:hAnsi="Calibri" w:cs="Calibri"/>
          <w:color w:val="2E75B5"/>
          <w:sz w:val="28"/>
          <w:szCs w:val="28"/>
          <w:lang w:eastAsia="fr-FR"/>
        </w:rPr>
      </w:pPr>
      <w:r w:rsidRPr="0094756A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 xml:space="preserve">Les représentations médiatiques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En 2012 (campagne électorale) la presse sort des articles selon les habitats - une élection qui tend à montr</w:t>
      </w:r>
      <w:r w:rsidR="00244F76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er que le réservoir de voix de M</w:t>
      </w: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arine LE PEN se situerait dans le périurbain -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En 2017 rôle de l'accession à la propriété dans le vote FN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Conclusion - les territoires périurbains sont associés aux ménages  modestes qui achètent un pavillon - jusqu'en 2000, le vote FN est associé aux banlieues - le périurbain est jusque-là associé aux classes moyennes - un refuge pour les classes moyennes </w:t>
      </w:r>
    </w:p>
    <w:p w:rsidR="00BA653B" w:rsidRPr="00BA653B" w:rsidRDefault="00244F76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L’association</w:t>
      </w:r>
      <w:r w:rsidR="00BA653B"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entre vote FN et classes populaires va se faire dans le périurbain -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Au début des 2000, le vote FN n'est pas lié à l'absence de culture ou à l'ignorance -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Critique : Christophe GUILLUY </w:t>
      </w:r>
      <w:r w:rsidR="00244F76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(</w:t>
      </w:r>
      <w:r w:rsidR="00244F76" w:rsidRPr="00244F76">
        <w:rPr>
          <w:rFonts w:ascii="Baskerville Old Face" w:eastAsia="Times New Roman" w:hAnsi="Baskerville Old Face" w:cs="Times New Roman"/>
          <w:i/>
          <w:sz w:val="24"/>
          <w:szCs w:val="24"/>
          <w:lang w:eastAsia="fr-FR"/>
        </w:rPr>
        <w:t>Fractures française</w:t>
      </w:r>
      <w:r w:rsidR="00244F76" w:rsidRPr="00244F76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, 2010. </w:t>
      </w:r>
      <w:r w:rsidR="00244F76" w:rsidRPr="00244F76">
        <w:rPr>
          <w:rFonts w:ascii="Baskerville Old Face" w:eastAsia="Times New Roman" w:hAnsi="Baskerville Old Face" w:cs="Times New Roman"/>
          <w:i/>
          <w:sz w:val="24"/>
          <w:szCs w:val="24"/>
          <w:lang w:eastAsia="fr-FR"/>
        </w:rPr>
        <w:t>La France périphérique</w:t>
      </w:r>
      <w:r w:rsidR="00244F76" w:rsidRPr="00244F76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, </w:t>
      </w:r>
      <w:r w:rsidR="00244F76" w:rsidRPr="00244F76">
        <w:rPr>
          <w:rFonts w:ascii="Baskerville Old Face" w:eastAsia="Times New Roman" w:hAnsi="Baskerville Old Face" w:cs="Times New Roman"/>
          <w:i/>
          <w:sz w:val="24"/>
          <w:szCs w:val="24"/>
          <w:lang w:eastAsia="fr-FR"/>
        </w:rPr>
        <w:t>Comment on a sacrifié les classes pop</w:t>
      </w:r>
      <w:r w:rsidR="00244F76" w:rsidRPr="00244F76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, 2014</w:t>
      </w:r>
      <w:r w:rsidR="0094756A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) </w:t>
      </w: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- géographe à large couverture médiatique - des travaux qui reposent sur des enquêtes statistiques - plutôt des essais avec des positions qui sont liées à la rhétorique extrême-droite -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Des travaux critiqués par GINTRAC et MEKDJIAN - essentialisation des classes populaires - + Anne LAMBERT sur les trajectoires des classes populaires dans le périurbain - </w:t>
      </w:r>
      <w:proofErr w:type="spellStart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cf</w:t>
      </w:r>
      <w:proofErr w:type="spellEnd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point des connaissances dans le </w:t>
      </w:r>
      <w:r w:rsidR="0094756A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dernier numéro de </w:t>
      </w:r>
      <w:r w:rsidRPr="0094756A">
        <w:rPr>
          <w:rFonts w:ascii="Baskerville Old Face" w:eastAsia="Times New Roman" w:hAnsi="Baskerville Old Face" w:cs="Times New Roman"/>
          <w:i/>
          <w:sz w:val="24"/>
          <w:szCs w:val="24"/>
          <w:lang w:eastAsia="fr-FR"/>
        </w:rPr>
        <w:t>Sciences Humaines</w:t>
      </w: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-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94756A" w:rsidRDefault="00BA653B" w:rsidP="000D4ED5">
      <w:pPr>
        <w:pStyle w:val="Paragraphedeliste"/>
        <w:numPr>
          <w:ilvl w:val="0"/>
          <w:numId w:val="11"/>
        </w:numPr>
        <w:textAlignment w:val="center"/>
        <w:rPr>
          <w:rFonts w:ascii="Calibri" w:eastAsia="Times New Roman" w:hAnsi="Calibri" w:cs="Calibri"/>
          <w:color w:val="2E75B5"/>
          <w:sz w:val="28"/>
          <w:szCs w:val="28"/>
          <w:lang w:eastAsia="fr-FR"/>
        </w:rPr>
      </w:pPr>
      <w:r w:rsidRPr="0094756A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 xml:space="preserve">Les évolutions des territoires périurbains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Default="00BA653B" w:rsidP="000D4ED5">
      <w:pPr>
        <w:numPr>
          <w:ilvl w:val="0"/>
          <w:numId w:val="4"/>
        </w:numPr>
        <w:ind w:left="12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Une catégorie de l'INSEE (mesure de l'expansion urbaine autour des agglomérations non contigüe  + attractivité en termes d'emplois des grandes agglomérations - 40 %) mais pas sociologique - un espace associé aux classes moyennes puis aux classes populaires - </w:t>
      </w:r>
      <w:proofErr w:type="spellStart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cf</w:t>
      </w:r>
      <w:proofErr w:type="spellEnd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zonage en aire urbaine </w:t>
      </w:r>
    </w:p>
    <w:p w:rsidR="0094756A" w:rsidRPr="00BA653B" w:rsidRDefault="0094756A" w:rsidP="000D4ED5">
      <w:pPr>
        <w:ind w:left="12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4756A">
        <w:rPr>
          <w:rFonts w:ascii="Times New Roman" w:eastAsia="Times New Roman" w:hAnsi="Times New Roman" w:cs="Times New Roman"/>
          <w:sz w:val="24"/>
          <w:szCs w:val="24"/>
          <w:lang w:eastAsia="fr-FR"/>
        </w:rPr>
        <w:t>Insee 1</w:t>
      </w:r>
      <w:r w:rsidRPr="009475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ère</w:t>
      </w:r>
      <w:r w:rsidRPr="009475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n° 1374 2011</w:t>
      </w:r>
    </w:p>
    <w:p w:rsidR="00BA653B" w:rsidRPr="00BA653B" w:rsidRDefault="00BA653B" w:rsidP="000D4ED5">
      <w:pPr>
        <w:numPr>
          <w:ilvl w:val="0"/>
          <w:numId w:val="4"/>
        </w:numPr>
        <w:ind w:left="12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Dans la zone étudiée : 44 % des hommes appartiennent aux ouvriers (1/3 au niveau national) - 2/3 femmes employées et ouvrières - si ce sont bien les classes </w:t>
      </w: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lastRenderedPageBreak/>
        <w:t xml:space="preserve">populaires - on a donc une surreprésentation de ces catégories dans les espaces périurbains  </w:t>
      </w:r>
    </w:p>
    <w:p w:rsidR="00BA653B" w:rsidRPr="00BA653B" w:rsidRDefault="00BA653B" w:rsidP="000D4ED5">
      <w:pPr>
        <w:numPr>
          <w:ilvl w:val="0"/>
          <w:numId w:val="4"/>
        </w:numPr>
        <w:ind w:left="12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Explications </w:t>
      </w:r>
    </w:p>
    <w:p w:rsidR="00BA653B" w:rsidRPr="00BA653B" w:rsidRDefault="00BA653B" w:rsidP="000D4ED5">
      <w:pPr>
        <w:numPr>
          <w:ilvl w:val="1"/>
          <w:numId w:val="4"/>
        </w:numPr>
        <w:ind w:left="1800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Mouvement d'accès à la propriété par les catégories populaires relativement récent pour les catégories populaires à partir des années 70/80 + politique du logement (de l'aide à la pierre à l'aide à la personne) - on </w:t>
      </w:r>
      <w:r w:rsidR="0094756A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rend les ménages </w:t>
      </w: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solvables ce qui développe les crédits et le marché de la maison individuelle - cela contredit les représentations car ce ne sont pas des choix individuels mais des conséquences de politiques publiques - ce sont des trajectoires résidentielles sous contraintes encadrées par les politiques publiques - ces politiques du logement ont des effets sur les trajectoires résidentielles - le développement de l'accès populaire à la propriété n'abolit pas les différences sociales en termes de type de biens et de localisation - les classes supérieures sont propriétaires en centre-ville et les ménages ouvriers sont plutôt dans de la construction en périurbain </w:t>
      </w:r>
    </w:p>
    <w:p w:rsidR="00BA653B" w:rsidRPr="00BA653B" w:rsidRDefault="00BA653B" w:rsidP="000D4ED5">
      <w:pPr>
        <w:numPr>
          <w:ilvl w:val="1"/>
          <w:numId w:val="4"/>
        </w:numPr>
        <w:ind w:left="1800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Relocalisation des emplois industriels dans les espaces périurbains- Au début des années 2000, 4/5 sont localisés dans les périphéries - ce sont des activités consommatrices d'espace</w:t>
      </w:r>
      <w:r w:rsidR="00891136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(industries agro-alimentaires, logistique, etc.) </w:t>
      </w: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- </w:t>
      </w:r>
      <w:proofErr w:type="spellStart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cf</w:t>
      </w:r>
      <w:proofErr w:type="spellEnd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parcs d'activité et pôles d'activité qui se développent à la faveur des politiques intercommunales - pas d'identité professionnelle forte car ce sont des activités diversifiées - cela contribue à modifier les représentations des catégories populaires - </w:t>
      </w:r>
    </w:p>
    <w:p w:rsidR="00BA653B" w:rsidRPr="00BA653B" w:rsidRDefault="00BA653B" w:rsidP="000D4ED5">
      <w:pPr>
        <w:ind w:left="1260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891136" w:rsidRDefault="00BA653B" w:rsidP="000D4ED5">
      <w:pPr>
        <w:pStyle w:val="Paragraphedeliste"/>
        <w:numPr>
          <w:ilvl w:val="0"/>
          <w:numId w:val="11"/>
        </w:numPr>
        <w:textAlignment w:val="center"/>
        <w:rPr>
          <w:rFonts w:ascii="Calibri" w:eastAsia="Times New Roman" w:hAnsi="Calibri" w:cs="Calibri"/>
          <w:color w:val="2E75B5"/>
          <w:sz w:val="28"/>
          <w:szCs w:val="28"/>
          <w:lang w:eastAsia="fr-FR"/>
        </w:rPr>
      </w:pPr>
      <w:r w:rsidRPr="00891136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>Portrait des fractions populaires de ces territoires (en termes sociologiques)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Méthodes de travail : le schème du déclassement ne peut pas rendre compte des mutations des classes populaires à lui seul - depuis les 7O une diversification importante car une hausse de la précarité, allongement des études, propriété, mobilité professionnelle accrue par des promotions, développement des formations professionnelles - une insertion dans l'emploi qualifié - des ménages qui appartiennent aux milieux populaires mais qui ont une certaine stabilité (pas de contrat précaire ni de chômage de longue durée - projection dans des évolutions de carrière) - </w:t>
      </w:r>
    </w:p>
    <w:p w:rsidR="00BA653B" w:rsidRPr="00BA653B" w:rsidRDefault="00BA653B" w:rsidP="000D4ED5">
      <w:pPr>
        <w:numPr>
          <w:ilvl w:val="0"/>
          <w:numId w:val="6"/>
        </w:numPr>
        <w:ind w:left="12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Une double définition des classes populaires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Les données du recensement amène à l'analyse localisée des classes sociales - cela pose la question des PCS - on peut aller à l'intérieur des catégories au niveau local - on peut croiser le détail des PCS et identifier plus facilement les fractions populaires - </w:t>
      </w:r>
    </w:p>
    <w:p w:rsidR="00BA653B" w:rsidRPr="00BA653B" w:rsidRDefault="00BA653B" w:rsidP="000D4ED5">
      <w:pPr>
        <w:numPr>
          <w:ilvl w:val="0"/>
          <w:numId w:val="7"/>
        </w:numPr>
        <w:ind w:left="12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On remarque : une surreprésentation des catégories "ouvriers" et populaires + en même temps une dynamique conforme aux grandes tendances nationales - ces territoires n'échappent pas aux recompositions des territoires - entrée des femmes des classes populaires dans les "employés" - </w:t>
      </w:r>
    </w:p>
    <w:p w:rsidR="00BA653B" w:rsidRPr="00BA653B" w:rsidRDefault="00BA653B" w:rsidP="000D4ED5">
      <w:pPr>
        <w:numPr>
          <w:ilvl w:val="0"/>
          <w:numId w:val="7"/>
        </w:numPr>
        <w:ind w:left="12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Par sexe et PCS - surreprésentation des hommes-ouvriers (1/2) et femmes-employées (1/2) </w:t>
      </w:r>
    </w:p>
    <w:p w:rsidR="00BA653B" w:rsidRPr="00BA653B" w:rsidRDefault="00BA653B" w:rsidP="000D4ED5">
      <w:pPr>
        <w:numPr>
          <w:ilvl w:val="0"/>
          <w:numId w:val="7"/>
        </w:numPr>
        <w:ind w:left="12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À l'intérieur des PCS - exemple : les ouvriers (qualifiés/non qualifiés) - le style de vie est différencié selon la qualification - les ouvriers qualifiés se maintiennent (1/3) alors que les non-qualifiés diminuent - une hausse des contremaitres et techniciens ce qui renvoient aux dynamiques nationales (les professions intermédiaires progressent à partir aussi des contremaitres et des techniciens) - </w:t>
      </w: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lastRenderedPageBreak/>
        <w:t xml:space="preserve">cela va à l'encontre de la théorie du déclassement - il y a des recompositions qui ne se réduisent pas aux suppressions d'emploi et de fermeture d'usines - </w:t>
      </w:r>
    </w:p>
    <w:p w:rsidR="00BA653B" w:rsidRPr="00BA653B" w:rsidRDefault="00BA653B" w:rsidP="000D4ED5">
      <w:pPr>
        <w:numPr>
          <w:ilvl w:val="0"/>
          <w:numId w:val="7"/>
        </w:numPr>
        <w:ind w:left="12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Du côté des employés - un</w:t>
      </w:r>
      <w:r w:rsidR="00891136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e</w:t>
      </w: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logique de secteur (et non de qualification) - les employées administratives d'entreprise et du public sont qualifiées ce qui n'est pas le cas pour les employées de commerce et services directs aux particuliers - ces deux dernières catégories augmentent récemment - ces emplois du public sont dans les collectivités (personnels des municipalités périscolaire par exemple) - c'est un vecteur de stabilité professionnelle et d'accompagnement des enfants vers la réussite scolaire - or dans le  périurbain il y a peu d'emplois publics 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Il s'agit d'articuler enquête ethnographique (entretiens compréhensifs) et données statistiques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Axe vertical : Des fractions stables, qualifiées (surtout les hommes dans l'industrie) - un certain niveau de vie (accession à la propriété) - des fractions populaires établies engagées dans des trajectoires sociales valorisantes (à la campagne) et de stabilité conjugale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À partir d'Olivier SCHWARTZ qui définit les catégories populaires comme étant celles qui ont des positions subalternes </w:t>
      </w:r>
      <w:r w:rsidR="00891136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dans la hiérarchie des emplois et des revenus </w:t>
      </w: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mais également distance et maintien des écarts aux formes de la culture légitime et dominante - depuis les 80, elles ne sont plus des isolats, elles n'ont plus de conscience sociale avec de la porosité culturelle plus grande (allongement des études) - </w:t>
      </w:r>
      <w:proofErr w:type="spellStart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cf</w:t>
      </w:r>
      <w:proofErr w:type="spellEnd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Stéphane BEAUD - en même temps des écarts et des distances avec des cultures plus distinctives - cela se retrouve dans l'emploi public : le niveau de diplôme (en particulier l'enseignement général) est un vecteur important de réussite - cette définition permet de regarder des fractions populaires stables mais dont les perspectives d'ascension sociale sont différentes des classes intermédiaires - des loisirs sportifs plutôt que culturels - des formes d'évolution des loisirs populaires et d'ouverture des univers culturels - ce ne sont pas des loisirs culturels distinctifs qui caractérisent les classes moyennes - de plus des proximités plus grandes avec les professions d'indépendants -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Une prévalence du capital économique p</w:t>
      </w:r>
      <w:r w:rsidR="00682982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lutôt que sur les diplômes – cf. </w:t>
      </w: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"supérieur de proximité" = BTS et IUT - promotion sociale par le biais de l'indépendance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0D4ED5" w:rsidRDefault="00BA653B" w:rsidP="000D4ED5">
      <w:pPr>
        <w:pStyle w:val="Paragraphedeliste"/>
        <w:numPr>
          <w:ilvl w:val="0"/>
          <w:numId w:val="11"/>
        </w:numPr>
        <w:textAlignment w:val="center"/>
        <w:rPr>
          <w:rFonts w:ascii="Calibri" w:eastAsia="Times New Roman" w:hAnsi="Calibri" w:cs="Calibri"/>
          <w:color w:val="2E75B5"/>
          <w:sz w:val="28"/>
          <w:szCs w:val="28"/>
          <w:lang w:eastAsia="fr-FR"/>
        </w:rPr>
      </w:pPr>
      <w:r w:rsidRPr="00682982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 xml:space="preserve">La </w:t>
      </w:r>
      <w:r w:rsidRPr="00682982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fr-FR"/>
        </w:rPr>
        <w:t>socialisation professionnelle</w:t>
      </w:r>
      <w:r w:rsidRPr="00682982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 xml:space="preserve"> et son rôle dans la politisation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682982" w:rsidRDefault="00682982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Socialisation professionnelle discontinue (changement d’entreprise). </w:t>
      </w:r>
      <w:r w:rsidRPr="00682982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Les ouvriers travaillent de plus en plus dans de petites unités. Rôle moins important des syndicats.</w:t>
      </w:r>
    </w:p>
    <w:p w:rsidR="00BA653B" w:rsidRDefault="00682982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D</w:t>
      </w:r>
      <w:r w:rsidR="00BA653B"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es caractéristiques sociales qui favorisent une proximité avec les discours de droite - des progressions de carrière qui renvoient au mérite individuel - des évolutions dans la socialisation professionnelle des ouvriers y compr</w:t>
      </w: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is chez les fractions stables.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Des formes d'expériences au travail qui sont vues comme des m</w:t>
      </w:r>
      <w:r w:rsidR="000D4ED5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oyens de conserver les emplois </w:t>
      </w: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0D4ED5" w:rsidRDefault="00BA653B" w:rsidP="000D4ED5">
      <w:pPr>
        <w:pStyle w:val="Paragraphedeliste"/>
        <w:numPr>
          <w:ilvl w:val="0"/>
          <w:numId w:val="11"/>
        </w:numPr>
        <w:textAlignment w:val="center"/>
        <w:rPr>
          <w:rFonts w:ascii="Calibri" w:eastAsia="Times New Roman" w:hAnsi="Calibri" w:cs="Calibri"/>
          <w:color w:val="2E75B5"/>
          <w:sz w:val="28"/>
          <w:szCs w:val="28"/>
          <w:lang w:eastAsia="fr-FR"/>
        </w:rPr>
      </w:pPr>
      <w:r w:rsidRPr="000D4ED5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 xml:space="preserve">Droitisation et radicalisation </w:t>
      </w:r>
      <w:proofErr w:type="gramStart"/>
      <w:r w:rsidRPr="000D4ED5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>politique -</w:t>
      </w:r>
      <w:proofErr w:type="gramEnd"/>
      <w:r w:rsidRPr="000D4ED5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 xml:space="preserve"> les comportements électoraux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Une distance par rapport à un modèle de réussite sociale (portée par les classes moyennes plutôt à gauche) - les fractions se sentent proches des classes moyennes indépendantes -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Quid de la sociologie électorale qui part des trajectoires ou des sondages "sortie des urnes" - on peut faire les deux en mêlant les appartenances professionnelles et les votes - les voix des ouvriers sont extrêmement diverses (et non plus un type de comportement électoral) - la profession ne permettrait plus de prédire le vote (</w:t>
      </w:r>
      <w:proofErr w:type="spellStart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cf</w:t>
      </w:r>
      <w:proofErr w:type="spellEnd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rôle des variables lourdes dans les </w:t>
      </w: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lastRenderedPageBreak/>
        <w:t>comportements électoraux)- le niveau de diplômes et le statut (au-delà de l'emploi occupé) est plus prédictif -  il convient de les mettre en perspective avec les enquêtes ethnographiques car cela ne</w:t>
      </w:r>
      <w:bookmarkStart w:id="0" w:name="_GoBack"/>
      <w:bookmarkEnd w:id="0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suffit pas à comprendre les comportements (abstention ou vote) - les trajectoires et la socialisation familiale sont importantes dans les formes de participation politique - l'isolement prolongé au travail est un facteur de détermination politique -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Calibri" w:eastAsia="Times New Roman" w:hAnsi="Calibri" w:cs="Calibri"/>
          <w:color w:val="2E75B5"/>
          <w:sz w:val="28"/>
          <w:szCs w:val="28"/>
          <w:lang w:eastAsia="fr-FR"/>
        </w:rPr>
      </w:pPr>
      <w:r w:rsidRPr="00BA653B">
        <w:rPr>
          <w:rFonts w:ascii="Calibri" w:eastAsia="Times New Roman" w:hAnsi="Calibri" w:cs="Calibri"/>
          <w:color w:val="2E75B5"/>
          <w:sz w:val="28"/>
          <w:szCs w:val="28"/>
          <w:lang w:eastAsia="fr-FR"/>
        </w:rPr>
        <w:t>CONCLUSIONS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Une extrême dispersion des votes des catégories populaires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Importance de l'abstention qui varie en fonction des fractions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Intérêt spécifique pour certaines questions économiques (à la différence du cens caché) pour  les fractions stables plus éduquées -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Défiance importante à l'égard des responsables politiques -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Des formes de consciences sociales renvoient à trois pôles : distinction par rapport aux classes défavorisées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Des formes de défiance importantes qui se traduisent par des comportements électoraux différents : abstention ou non, alternance du vote selon les élections, radicalisation et droitisation 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Des comportements différenciés en fonction des élections - une plus forte participation pour les présidentielles - les enjeux associés aux scrutins vont varier les résultats -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</w:p>
    <w:p w:rsidR="00BA653B" w:rsidRPr="00BA653B" w:rsidRDefault="00BA653B" w:rsidP="000D4ED5">
      <w:pPr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Questions </w:t>
      </w:r>
    </w:p>
    <w:p w:rsidR="00BA653B" w:rsidRPr="00BA653B" w:rsidRDefault="00BA653B" w:rsidP="000D4ED5">
      <w:pPr>
        <w:numPr>
          <w:ilvl w:val="0"/>
          <w:numId w:val="10"/>
        </w:numPr>
        <w:ind w:left="12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Anne MUXEL - entretiens en famille / entretiens plutôt avec des hommes (les femmes ne prennent pas part aux discussions politiques qui pourraient amener à des tensions) - des rôles </w:t>
      </w:r>
      <w:proofErr w:type="spellStart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genrés</w:t>
      </w:r>
      <w:proofErr w:type="spellEnd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classiques - </w:t>
      </w:r>
    </w:p>
    <w:p w:rsidR="00BA653B" w:rsidRPr="00BA653B" w:rsidRDefault="00BA653B" w:rsidP="000D4ED5">
      <w:pPr>
        <w:numPr>
          <w:ilvl w:val="0"/>
          <w:numId w:val="10"/>
        </w:numPr>
        <w:ind w:left="12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Choix du canton de VARIEU - une thèse financée par le ministère de l'équipement - une préoccupation sur ces espaces à habitat diffus - </w:t>
      </w:r>
    </w:p>
    <w:p w:rsidR="00BA653B" w:rsidRPr="00BA653B" w:rsidRDefault="00BA653B" w:rsidP="000D4ED5">
      <w:pPr>
        <w:numPr>
          <w:ilvl w:val="0"/>
          <w:numId w:val="10"/>
        </w:numPr>
        <w:ind w:left="12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Pas de généralisation possible de ce territoire au national - mais ce sont des espaces où les catégories populaires sont surreprésentées - </w:t>
      </w:r>
    </w:p>
    <w:p w:rsidR="00BA653B" w:rsidRPr="00BA653B" w:rsidRDefault="00BA653B" w:rsidP="000D4ED5">
      <w:pPr>
        <w:numPr>
          <w:ilvl w:val="0"/>
          <w:numId w:val="10"/>
        </w:numPr>
        <w:ind w:left="12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Encartement</w:t>
      </w:r>
      <w:proofErr w:type="spellEnd"/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  et implantation au-delà du vote FN - pas de militantisme local mais des électeurs actifs dans les sociabilités publiques qui font du prosélytisme - pas de fidélité partisane - </w:t>
      </w:r>
    </w:p>
    <w:p w:rsidR="00BA653B" w:rsidRPr="00BA653B" w:rsidRDefault="00BA653B" w:rsidP="000D4ED5">
      <w:pPr>
        <w:numPr>
          <w:ilvl w:val="0"/>
          <w:numId w:val="10"/>
        </w:numPr>
        <w:ind w:left="12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653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Rôle des médias et comment s'informent les gens ? </w:t>
      </w:r>
    </w:p>
    <w:p w:rsidR="00CA704C" w:rsidRDefault="00CA704C" w:rsidP="000D4ED5"/>
    <w:sectPr w:rsidR="00CA7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6EC"/>
    <w:multiLevelType w:val="multilevel"/>
    <w:tmpl w:val="5E9E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2545DF"/>
    <w:multiLevelType w:val="multilevel"/>
    <w:tmpl w:val="639E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93DAA"/>
    <w:multiLevelType w:val="hybridMultilevel"/>
    <w:tmpl w:val="581492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40135"/>
    <w:multiLevelType w:val="multilevel"/>
    <w:tmpl w:val="06C8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54DFB"/>
    <w:multiLevelType w:val="multilevel"/>
    <w:tmpl w:val="A3B0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C2FBA"/>
    <w:multiLevelType w:val="multilevel"/>
    <w:tmpl w:val="5CCE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A6EA4"/>
    <w:multiLevelType w:val="multilevel"/>
    <w:tmpl w:val="AD9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4F377E"/>
    <w:multiLevelType w:val="multilevel"/>
    <w:tmpl w:val="1C0C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B75BF"/>
    <w:multiLevelType w:val="multilevel"/>
    <w:tmpl w:val="C984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A4084B"/>
    <w:multiLevelType w:val="multilevel"/>
    <w:tmpl w:val="AA1C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AF2C82"/>
    <w:multiLevelType w:val="multilevel"/>
    <w:tmpl w:val="42EA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8B462A"/>
    <w:multiLevelType w:val="hybridMultilevel"/>
    <w:tmpl w:val="8B8281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10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3B"/>
    <w:rsid w:val="000D4ED5"/>
    <w:rsid w:val="00244F76"/>
    <w:rsid w:val="0064282E"/>
    <w:rsid w:val="00682982"/>
    <w:rsid w:val="00891136"/>
    <w:rsid w:val="0094756A"/>
    <w:rsid w:val="00BA653B"/>
    <w:rsid w:val="00C43071"/>
    <w:rsid w:val="00C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71"/>
    <w:pPr>
      <w:jc w:val="both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5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47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71"/>
    <w:pPr>
      <w:jc w:val="both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5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4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873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941">
          <w:marLeft w:val="720"/>
          <w:marRight w:val="0"/>
          <w:marTop w:val="6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1778</Words>
  <Characters>9785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Céline</cp:lastModifiedBy>
  <cp:revision>3</cp:revision>
  <dcterms:created xsi:type="dcterms:W3CDTF">2017-11-06T22:36:00Z</dcterms:created>
  <dcterms:modified xsi:type="dcterms:W3CDTF">2017-11-10T06:37:00Z</dcterms:modified>
</cp:coreProperties>
</file>