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812" w:rsidRDefault="000B3812" w:rsidP="000B3812">
      <w:r>
        <w:t xml:space="preserve">SOCIOLOGIE 1.2: </w:t>
      </w:r>
    </w:p>
    <w:tbl>
      <w:tblPr>
        <w:tblW w:w="10348" w:type="dxa"/>
        <w:tblInd w:w="-649" w:type="dxa"/>
        <w:tblBorders>
          <w:top w:val="single" w:sz="4" w:space="0" w:color="auto"/>
          <w:left w:val="single" w:sz="4" w:space="0" w:color="auto"/>
          <w:bottom w:val="single" w:sz="4" w:space="0" w:color="auto"/>
          <w:right w:val="single" w:sz="4" w:space="0" w:color="auto"/>
          <w:insideH w:val="single" w:sz="6" w:space="0" w:color="FFFFFF"/>
          <w:insideV w:val="single" w:sz="6" w:space="0" w:color="FFFFFF"/>
        </w:tblBorders>
        <w:shd w:val="clear" w:color="auto" w:fill="FDEEE9"/>
        <w:tblCellMar>
          <w:left w:w="0" w:type="dxa"/>
          <w:right w:w="0" w:type="dxa"/>
        </w:tblCellMar>
        <w:tblLook w:val="04A0" w:firstRow="1" w:lastRow="0" w:firstColumn="1" w:lastColumn="0" w:noHBand="0" w:noVBand="1"/>
      </w:tblPr>
      <w:tblGrid>
        <w:gridCol w:w="2574"/>
        <w:gridCol w:w="2577"/>
        <w:gridCol w:w="5197"/>
      </w:tblGrid>
      <w:tr w:rsidR="000B3812" w:rsidRPr="009B0CE9" w:rsidTr="002666ED">
        <w:tc>
          <w:tcPr>
            <w:tcW w:w="1244" w:type="pct"/>
            <w:shd w:val="clear" w:color="auto" w:fill="FDEEE9"/>
            <w:tcMar>
              <w:top w:w="30" w:type="dxa"/>
              <w:left w:w="60" w:type="dxa"/>
              <w:bottom w:w="30" w:type="dxa"/>
              <w:right w:w="60" w:type="dxa"/>
            </w:tcMar>
            <w:hideMark/>
          </w:tcPr>
          <w:p w:rsidR="000B3812" w:rsidRPr="009B0CE9" w:rsidRDefault="000B3812" w:rsidP="002666ED">
            <w:pPr>
              <w:rPr>
                <w:sz w:val="18"/>
                <w:szCs w:val="18"/>
              </w:rPr>
            </w:pPr>
            <w:r w:rsidRPr="009B0CE9">
              <w:rPr>
                <w:b/>
                <w:bCs/>
                <w:sz w:val="18"/>
                <w:szCs w:val="18"/>
              </w:rPr>
              <w:t>1.2 Comment rendre compte de la mobilité sociale ?</w:t>
            </w:r>
          </w:p>
        </w:tc>
        <w:tc>
          <w:tcPr>
            <w:tcW w:w="1245" w:type="pct"/>
            <w:shd w:val="clear" w:color="auto" w:fill="FDEEE9"/>
            <w:tcMar>
              <w:top w:w="30" w:type="dxa"/>
              <w:left w:w="60" w:type="dxa"/>
              <w:bottom w:w="30" w:type="dxa"/>
              <w:right w:w="60" w:type="dxa"/>
            </w:tcMar>
            <w:hideMark/>
          </w:tcPr>
          <w:p w:rsidR="000B3812" w:rsidRPr="009B0CE9" w:rsidRDefault="000B3812" w:rsidP="002666ED">
            <w:pPr>
              <w:rPr>
                <w:sz w:val="18"/>
                <w:szCs w:val="18"/>
              </w:rPr>
            </w:pPr>
            <w:r w:rsidRPr="009B0CE9">
              <w:rPr>
                <w:sz w:val="18"/>
                <w:szCs w:val="18"/>
              </w:rPr>
              <w:t>Mobilité intergénérationnelle/intra-générationnelle, mobilité observée, fluidité sociale, déclassement, capital culturel, paradoxe d'Anderson.</w:t>
            </w:r>
          </w:p>
        </w:tc>
        <w:tc>
          <w:tcPr>
            <w:tcW w:w="2511" w:type="pct"/>
            <w:shd w:val="clear" w:color="auto" w:fill="FDEEE9"/>
            <w:tcMar>
              <w:top w:w="30" w:type="dxa"/>
              <w:left w:w="60" w:type="dxa"/>
              <w:bottom w:w="30" w:type="dxa"/>
              <w:right w:w="60" w:type="dxa"/>
            </w:tcMar>
            <w:hideMark/>
          </w:tcPr>
          <w:p w:rsidR="000B3812" w:rsidRPr="009B0CE9" w:rsidRDefault="000B3812" w:rsidP="002666ED">
            <w:pPr>
              <w:rPr>
                <w:sz w:val="18"/>
                <w:szCs w:val="18"/>
              </w:rPr>
            </w:pPr>
            <w:r w:rsidRPr="009B0CE9">
              <w:rPr>
                <w:sz w:val="18"/>
                <w:szCs w:val="18"/>
              </w:rPr>
              <w:t>Après avoir distingué la mobilité sociale intergénérationnelle d'autres formes de mobilité (géographique, professionnelle), on se posera le problème de sa mesure à partir de l'étude des tables de mobilité sociale dont on soulignera à la fois l'intérêt et les limites. On distinguera la mobilité observée et la fluidité sociale et on mettra en évidence l'existence de flux de mobilité verticale (ascendante et descendante) et horizontale. On étudiera différents déterminants de la mobilité et de la reproduction sociale : l'évolution de la structure socioprofessionnelle, le rôle de l'école et de la famille.</w:t>
            </w:r>
            <w:r w:rsidRPr="009B0CE9">
              <w:rPr>
                <w:sz w:val="18"/>
                <w:szCs w:val="18"/>
              </w:rPr>
              <w:br/>
            </w:r>
            <w:r w:rsidRPr="009B0CE9">
              <w:rPr>
                <w:b/>
                <w:bCs/>
                <w:sz w:val="18"/>
                <w:szCs w:val="18"/>
              </w:rPr>
              <w:t>Acquis de première :</w:t>
            </w:r>
            <w:r w:rsidRPr="009B0CE9">
              <w:rPr>
                <w:sz w:val="18"/>
                <w:szCs w:val="18"/>
              </w:rPr>
              <w:t> groupe d'appartenance, groupe de référence, socialisation anticipatrice, capital social.</w:t>
            </w:r>
          </w:p>
        </w:tc>
      </w:tr>
    </w:tbl>
    <w:p w:rsidR="000B3812" w:rsidRDefault="000B3812" w:rsidP="000B3812"/>
    <w:p w:rsidR="000B3812" w:rsidRDefault="000B3812" w:rsidP="000B3812">
      <w:pPr>
        <w:rPr>
          <w:rFonts w:ascii="Arial" w:hAnsi="Arial" w:cs="Arial"/>
          <w:color w:val="000000"/>
          <w:sz w:val="22"/>
          <w:szCs w:val="22"/>
        </w:rPr>
      </w:pPr>
      <w:r w:rsidRPr="002F25CC">
        <w:rPr>
          <w:rFonts w:ascii="Arial" w:hAnsi="Arial" w:cs="Arial"/>
          <w:b/>
          <w:bCs/>
          <w:color w:val="000000"/>
          <w:sz w:val="22"/>
          <w:szCs w:val="22"/>
          <w:u w:val="single"/>
        </w:rPr>
        <w:t>Sites à consulter :</w:t>
      </w:r>
      <w:r w:rsidRPr="002F25CC">
        <w:rPr>
          <w:rFonts w:ascii="Arial" w:hAnsi="Arial" w:cs="Arial"/>
          <w:color w:val="000000"/>
          <w:sz w:val="22"/>
          <w:szCs w:val="22"/>
        </w:rPr>
        <w:t xml:space="preserve"> </w:t>
      </w:r>
    </w:p>
    <w:p w:rsidR="000B3812" w:rsidRDefault="000B3812" w:rsidP="000B3812">
      <w:pPr>
        <w:rPr>
          <w:rStyle w:val="CitationHTML"/>
        </w:rPr>
      </w:pPr>
      <w:hyperlink r:id="rId5" w:history="1">
        <w:r w:rsidRPr="00025F7F">
          <w:rPr>
            <w:rStyle w:val="Lienhypertexte"/>
          </w:rPr>
          <w:t>https://www.insee.fr/</w:t>
        </w:r>
      </w:hyperlink>
    </w:p>
    <w:p w:rsidR="000B3812" w:rsidRDefault="000B3812" w:rsidP="000B3812">
      <w:pPr>
        <w:rPr>
          <w:rStyle w:val="CitationHTML"/>
        </w:rPr>
      </w:pPr>
    </w:p>
    <w:p w:rsidR="000B3812" w:rsidRDefault="000B3812" w:rsidP="000B3812">
      <w:pPr>
        <w:rPr>
          <w:rStyle w:val="CitationHTML"/>
        </w:rPr>
      </w:pPr>
      <w:hyperlink r:id="rId6" w:history="1">
        <w:r w:rsidRPr="00025F7F">
          <w:rPr>
            <w:rStyle w:val="Lienhypertexte"/>
          </w:rPr>
          <w:t>http://ses.ens-lyon.fr/</w:t>
        </w:r>
      </w:hyperlink>
    </w:p>
    <w:p w:rsidR="000B3812" w:rsidRDefault="000B3812" w:rsidP="000B3812">
      <w:pPr>
        <w:rPr>
          <w:rStyle w:val="CitationHTML"/>
        </w:rPr>
      </w:pPr>
    </w:p>
    <w:p w:rsidR="000B3812" w:rsidRDefault="000B3812" w:rsidP="000B3812">
      <w:pPr>
        <w:rPr>
          <w:rStyle w:val="CitationHTML"/>
        </w:rPr>
      </w:pPr>
    </w:p>
    <w:p w:rsidR="000B3812" w:rsidRPr="002F25CC" w:rsidRDefault="000B3812" w:rsidP="000B3812"/>
    <w:p w:rsidR="000B3812" w:rsidRPr="002F25CC" w:rsidRDefault="000B3812" w:rsidP="000B3812"/>
    <w:p w:rsidR="000B3812" w:rsidRDefault="000B3812" w:rsidP="000B3812">
      <w:pPr>
        <w:rPr>
          <w:rFonts w:ascii="Arial" w:hAnsi="Arial" w:cs="Arial"/>
          <w:color w:val="000000"/>
          <w:sz w:val="22"/>
          <w:szCs w:val="22"/>
        </w:rPr>
      </w:pPr>
      <w:r w:rsidRPr="002F25CC">
        <w:rPr>
          <w:rFonts w:ascii="Arial" w:hAnsi="Arial" w:cs="Arial"/>
          <w:b/>
          <w:bCs/>
          <w:color w:val="000000"/>
          <w:sz w:val="22"/>
          <w:szCs w:val="22"/>
          <w:u w:val="single"/>
        </w:rPr>
        <w:t>Questions :</w:t>
      </w:r>
      <w:r w:rsidRPr="002F25CC">
        <w:rPr>
          <w:rFonts w:ascii="Arial" w:hAnsi="Arial" w:cs="Arial"/>
          <w:color w:val="000000"/>
          <w:sz w:val="22"/>
          <w:szCs w:val="22"/>
        </w:rPr>
        <w:t xml:space="preserve"> </w:t>
      </w:r>
    </w:p>
    <w:p w:rsidR="000B3812" w:rsidRDefault="000B3812" w:rsidP="000B3812">
      <w:pPr>
        <w:rPr>
          <w:rFonts w:ascii="Arial" w:hAnsi="Arial" w:cs="Arial"/>
          <w:color w:val="000000"/>
          <w:sz w:val="22"/>
          <w:szCs w:val="22"/>
        </w:rPr>
      </w:pPr>
    </w:p>
    <w:p w:rsidR="000B3812" w:rsidRDefault="000B3812" w:rsidP="000B3812">
      <w:pPr>
        <w:rPr>
          <w:rFonts w:ascii="Arial" w:hAnsi="Arial" w:cs="Arial"/>
          <w:color w:val="000000"/>
          <w:sz w:val="22"/>
          <w:szCs w:val="22"/>
        </w:rPr>
      </w:pPr>
    </w:p>
    <w:p w:rsidR="000B3812" w:rsidRPr="00E92AA8" w:rsidRDefault="000B3812" w:rsidP="000B3812">
      <w:pPr>
        <w:rPr>
          <w:b/>
        </w:rPr>
      </w:pPr>
      <w:r w:rsidRPr="00285BF1">
        <w:rPr>
          <w:b/>
          <w:i/>
          <w:u w:val="single"/>
        </w:rPr>
        <w:t>Question 1</w:t>
      </w:r>
      <w:r>
        <w:rPr>
          <w:b/>
        </w:rPr>
        <w:t xml:space="preserve"> : </w:t>
      </w:r>
      <w:r w:rsidRPr="00E92AA8">
        <w:rPr>
          <w:b/>
        </w:rPr>
        <w:t>Selon l’</w:t>
      </w:r>
      <w:r>
        <w:rPr>
          <w:b/>
        </w:rPr>
        <w:t>enquête FQP, INSEE, en 2014/2015 quel était le pourcentage d’« hommes employés et ouvriers non qualifiés »</w:t>
      </w:r>
      <w:r w:rsidRPr="00E92AA8">
        <w:rPr>
          <w:b/>
        </w:rPr>
        <w:t> ?</w:t>
      </w:r>
      <w:r>
        <w:rPr>
          <w:b/>
        </w:rPr>
        <w:t xml:space="preserve"> (Hommes âgés de de 30</w:t>
      </w:r>
      <w:r w:rsidRPr="00E92AA8">
        <w:rPr>
          <w:b/>
        </w:rPr>
        <w:t xml:space="preserve"> à 59 ans)</w:t>
      </w:r>
    </w:p>
    <w:p w:rsidR="000B3812" w:rsidRPr="00E92AA8" w:rsidRDefault="000B3812" w:rsidP="000B3812">
      <w:pPr>
        <w:rPr>
          <w:b/>
        </w:rPr>
      </w:pPr>
    </w:p>
    <w:p w:rsidR="000B3812" w:rsidRDefault="000B3812" w:rsidP="000B3812"/>
    <w:p w:rsidR="000B3812" w:rsidRPr="00A60EF8" w:rsidRDefault="000B3812" w:rsidP="000B3812">
      <w:pPr>
        <w:rPr>
          <w:b/>
        </w:rPr>
      </w:pPr>
      <w:r w:rsidRPr="00285BF1">
        <w:rPr>
          <w:b/>
          <w:i/>
          <w:u w:val="single"/>
        </w:rPr>
        <w:t>Question 2</w:t>
      </w:r>
      <w:r>
        <w:rPr>
          <w:b/>
        </w:rPr>
        <w:t xml:space="preserve"> : En 2014/2015, combien d’individus estiment avoir « à peu près » le même statut que leur père </w:t>
      </w:r>
      <w:r w:rsidRPr="00A60EF8">
        <w:rPr>
          <w:b/>
        </w:rPr>
        <w:t>?</w:t>
      </w:r>
    </w:p>
    <w:p w:rsidR="000B3812" w:rsidRDefault="000B3812" w:rsidP="000B3812">
      <w:pPr>
        <w:rPr>
          <w:color w:val="FABF8F" w:themeColor="accent6" w:themeTint="99"/>
        </w:rPr>
      </w:pPr>
    </w:p>
    <w:p w:rsidR="000B3812" w:rsidRPr="00A60EF8" w:rsidRDefault="000B3812" w:rsidP="000B3812">
      <w:pPr>
        <w:rPr>
          <w:color w:val="FABF8F" w:themeColor="accent6" w:themeTint="99"/>
        </w:rPr>
      </w:pPr>
    </w:p>
    <w:p w:rsidR="000B3812" w:rsidRDefault="000B3812" w:rsidP="000B3812"/>
    <w:p w:rsidR="000B3812" w:rsidRPr="00E92AA8" w:rsidRDefault="000B3812" w:rsidP="000B3812">
      <w:pPr>
        <w:rPr>
          <w:b/>
        </w:rPr>
      </w:pPr>
      <w:r w:rsidRPr="001A7DDE">
        <w:rPr>
          <w:b/>
          <w:i/>
          <w:u w:val="single"/>
        </w:rPr>
        <w:t>Question 3</w:t>
      </w:r>
      <w:r>
        <w:rPr>
          <w:b/>
        </w:rPr>
        <w:t> :</w:t>
      </w:r>
      <w:r w:rsidRPr="00E92AA8">
        <w:rPr>
          <w:b/>
        </w:rPr>
        <w:t xml:space="preserve"> Concernant la mobilité sociale observée, quel est le pourcentage d’hommes qui connaissent une mobilité ascendante par rapport aux hommes ?</w:t>
      </w:r>
    </w:p>
    <w:p w:rsidR="000B3812" w:rsidRDefault="000B3812" w:rsidP="000B3812">
      <w:pPr>
        <w:rPr>
          <w:color w:val="FABF8F" w:themeColor="accent6" w:themeTint="99"/>
        </w:rPr>
      </w:pPr>
    </w:p>
    <w:p w:rsidR="000B3812" w:rsidRPr="00B55607" w:rsidRDefault="000B3812" w:rsidP="000B3812"/>
    <w:p w:rsidR="000B3812" w:rsidRPr="00B55607" w:rsidRDefault="000B3812" w:rsidP="000B3812"/>
    <w:p w:rsidR="000B3812" w:rsidRPr="001A7DDE" w:rsidRDefault="000B3812" w:rsidP="000B3812">
      <w:pPr>
        <w:rPr>
          <w:b/>
        </w:rPr>
      </w:pPr>
      <w:r w:rsidRPr="001A7DDE">
        <w:rPr>
          <w:b/>
          <w:i/>
          <w:u w:val="single"/>
        </w:rPr>
        <w:t>Question 4</w:t>
      </w:r>
      <w:r>
        <w:t xml:space="preserve"> : </w:t>
      </w:r>
      <w:r w:rsidRPr="001A7DDE">
        <w:rPr>
          <w:b/>
        </w:rPr>
        <w:t>Quel pourcentage d’individus qui connaissent une mobilité descendante se sentent déclassés par rapport à leur père ? (données 2014-2015)</w:t>
      </w:r>
    </w:p>
    <w:p w:rsidR="000B3812" w:rsidRPr="002F25CC" w:rsidRDefault="000B3812" w:rsidP="000B3812">
      <w:pPr>
        <w:rPr>
          <w:b/>
          <w:color w:val="FABF8F" w:themeColor="accent6" w:themeTint="99"/>
        </w:rPr>
      </w:pPr>
    </w:p>
    <w:p w:rsidR="000B3812" w:rsidRDefault="000B3812" w:rsidP="000B3812"/>
    <w:p w:rsidR="000B3812" w:rsidRDefault="000B3812" w:rsidP="000B3812">
      <w:r w:rsidRPr="001A7DDE">
        <w:rPr>
          <w:b/>
          <w:i/>
          <w:u w:val="single"/>
        </w:rPr>
        <w:t>Question</w:t>
      </w:r>
      <w:r>
        <w:t xml:space="preserve"> </w:t>
      </w:r>
      <w:r w:rsidRPr="001A7DDE">
        <w:rPr>
          <w:b/>
        </w:rPr>
        <w:t>5</w:t>
      </w:r>
      <w:r>
        <w:t xml:space="preserve"> : </w:t>
      </w:r>
      <w:r w:rsidRPr="001A7DDE">
        <w:rPr>
          <w:b/>
        </w:rPr>
        <w:t>Combien de femmes employées avaient un père ouvrier ?</w:t>
      </w:r>
      <w:r>
        <w:t xml:space="preserve"> </w:t>
      </w:r>
    </w:p>
    <w:p w:rsidR="000B3812" w:rsidRDefault="000B3812" w:rsidP="000B3812">
      <w:pPr>
        <w:rPr>
          <w:b/>
          <w:color w:val="FABF8F" w:themeColor="accent6" w:themeTint="99"/>
        </w:rPr>
      </w:pPr>
    </w:p>
    <w:p w:rsidR="000B3812" w:rsidRDefault="000B3812" w:rsidP="000B3812">
      <w:pPr>
        <w:rPr>
          <w:b/>
          <w:color w:val="FABF8F" w:themeColor="accent6" w:themeTint="99"/>
        </w:rPr>
      </w:pPr>
    </w:p>
    <w:p w:rsidR="000B3812" w:rsidRDefault="000B3812" w:rsidP="000B3812">
      <w:pPr>
        <w:rPr>
          <w:b/>
          <w:color w:val="FABF8F" w:themeColor="accent6" w:themeTint="99"/>
        </w:rPr>
      </w:pPr>
    </w:p>
    <w:p w:rsidR="000B3812" w:rsidRPr="00285BF1" w:rsidRDefault="000B3812" w:rsidP="000B3812">
      <w:pPr>
        <w:rPr>
          <w:rFonts w:ascii="Arial" w:hAnsi="Arial" w:cs="Arial"/>
          <w:i/>
          <w:color w:val="FABF8F" w:themeColor="accent6" w:themeTint="99"/>
          <w:sz w:val="20"/>
          <w:szCs w:val="20"/>
          <w:u w:val="single"/>
        </w:rPr>
      </w:pPr>
      <w:r w:rsidRPr="00285BF1">
        <w:rPr>
          <w:b/>
          <w:i/>
          <w:color w:val="FABF8F" w:themeColor="accent6" w:themeTint="99"/>
          <w:u w:val="single"/>
        </w:rPr>
        <w:t xml:space="preserve">Eléments de correction : </w:t>
      </w:r>
    </w:p>
    <w:p w:rsidR="000B3812" w:rsidRPr="001A7DDE" w:rsidRDefault="000B3812" w:rsidP="000B3812">
      <w:pPr>
        <w:rPr>
          <w:b/>
          <w:color w:val="FABF8F" w:themeColor="accent6" w:themeTint="99"/>
        </w:rPr>
      </w:pPr>
    </w:p>
    <w:p w:rsidR="000B3812" w:rsidRDefault="000B3812" w:rsidP="000B3812">
      <w:pPr>
        <w:rPr>
          <w:rFonts w:ascii="Arial" w:hAnsi="Arial" w:cs="Arial"/>
          <w:color w:val="000000"/>
          <w:sz w:val="22"/>
          <w:szCs w:val="22"/>
        </w:rPr>
      </w:pPr>
    </w:p>
    <w:p w:rsidR="000B3812" w:rsidRDefault="000B3812" w:rsidP="000B3812">
      <w:pPr>
        <w:rPr>
          <w:rFonts w:ascii="Arial" w:hAnsi="Arial" w:cs="Arial"/>
          <w:color w:val="000000"/>
          <w:sz w:val="22"/>
          <w:szCs w:val="22"/>
        </w:rPr>
      </w:pPr>
    </w:p>
    <w:p w:rsidR="000B3812" w:rsidRPr="00E92AA8" w:rsidRDefault="000B3812" w:rsidP="000B3812">
      <w:pPr>
        <w:rPr>
          <w:b/>
        </w:rPr>
      </w:pPr>
      <w:r w:rsidRPr="002D360B">
        <w:rPr>
          <w:b/>
          <w:i/>
          <w:u w:val="single"/>
        </w:rPr>
        <w:t>Question 1</w:t>
      </w:r>
      <w:r w:rsidRPr="002D360B">
        <w:rPr>
          <w:b/>
          <w:u w:val="single"/>
        </w:rPr>
        <w:t> </w:t>
      </w:r>
      <w:r>
        <w:rPr>
          <w:b/>
        </w:rPr>
        <w:t xml:space="preserve">: </w:t>
      </w:r>
      <w:r w:rsidRPr="00E92AA8">
        <w:rPr>
          <w:b/>
        </w:rPr>
        <w:t>Selon l’</w:t>
      </w:r>
      <w:r>
        <w:rPr>
          <w:b/>
        </w:rPr>
        <w:t>enquête FQP, INSEE, en 2014/2015 quel était le pourcentage d’ « hommes employés et ouvriers non qualifiés »</w:t>
      </w:r>
      <w:r w:rsidRPr="00E92AA8">
        <w:rPr>
          <w:b/>
        </w:rPr>
        <w:t> ?</w:t>
      </w:r>
      <w:r>
        <w:rPr>
          <w:b/>
        </w:rPr>
        <w:t xml:space="preserve"> (Hommes âgés de de 30</w:t>
      </w:r>
      <w:r w:rsidRPr="00E92AA8">
        <w:rPr>
          <w:b/>
        </w:rPr>
        <w:t xml:space="preserve"> à 59 ans)</w:t>
      </w:r>
    </w:p>
    <w:p w:rsidR="000B3812" w:rsidRPr="00E92AA8" w:rsidRDefault="000B3812" w:rsidP="000B3812">
      <w:pPr>
        <w:rPr>
          <w:b/>
        </w:rPr>
      </w:pPr>
    </w:p>
    <w:p w:rsidR="000B3812" w:rsidRDefault="000B3812" w:rsidP="000B3812"/>
    <w:p w:rsidR="000B3812" w:rsidRPr="00E31A6F" w:rsidRDefault="000B3812" w:rsidP="000B3812">
      <w:pPr>
        <w:rPr>
          <w:b/>
          <w:color w:val="FABF8F" w:themeColor="accent6" w:themeTint="99"/>
        </w:rPr>
      </w:pPr>
      <w:r w:rsidRPr="00E31A6F">
        <w:rPr>
          <w:b/>
          <w:color w:val="FABF8F" w:themeColor="accent6" w:themeTint="99"/>
        </w:rPr>
        <w:t>Correction : allez sur l</w:t>
      </w:r>
      <w:r>
        <w:rPr>
          <w:b/>
          <w:color w:val="FABF8F" w:themeColor="accent6" w:themeTint="99"/>
        </w:rPr>
        <w:t>e site de l’INSEE</w:t>
      </w:r>
      <w:r w:rsidRPr="00E31A6F">
        <w:rPr>
          <w:b/>
          <w:color w:val="FABF8F" w:themeColor="accent6" w:themeTint="99"/>
        </w:rPr>
        <w:t xml:space="preserve"> enqu</w:t>
      </w:r>
      <w:r>
        <w:rPr>
          <w:b/>
          <w:color w:val="FABF8F" w:themeColor="accent6" w:themeTint="99"/>
        </w:rPr>
        <w:t>ête FQP INSEE</w:t>
      </w:r>
      <w:r w:rsidRPr="00E31A6F">
        <w:rPr>
          <w:b/>
          <w:color w:val="FABF8F" w:themeColor="accent6" w:themeTint="99"/>
        </w:rPr>
        <w:t xml:space="preserve"> première N°1659</w:t>
      </w:r>
    </w:p>
    <w:p w:rsidR="000B3812" w:rsidRPr="00E31A6F" w:rsidRDefault="000B3812" w:rsidP="000B3812">
      <w:pPr>
        <w:rPr>
          <w:b/>
          <w:color w:val="FABF8F" w:themeColor="accent6" w:themeTint="99"/>
        </w:rPr>
      </w:pPr>
      <w:r w:rsidRPr="00E31A6F">
        <w:rPr>
          <w:b/>
          <w:color w:val="FABF8F" w:themeColor="accent6" w:themeTint="99"/>
        </w:rPr>
        <w:t>Intérêt</w:t>
      </w:r>
      <w:r>
        <w:rPr>
          <w:b/>
          <w:color w:val="FABF8F" w:themeColor="accent6" w:themeTint="99"/>
        </w:rPr>
        <w:t xml:space="preserve"> de cette question</w:t>
      </w:r>
      <w:r w:rsidRPr="00E31A6F">
        <w:rPr>
          <w:b/>
          <w:color w:val="FABF8F" w:themeColor="accent6" w:themeTint="99"/>
        </w:rPr>
        <w:t> : permet, grâce aux notes de lecture, de découvrir les tables de mobilité et leurs intérêts : ici, on voit une importance des emplois tertiaires</w:t>
      </w:r>
    </w:p>
    <w:p w:rsidR="000B3812" w:rsidRDefault="000B3812" w:rsidP="000B3812">
      <w:r>
        <w:rPr>
          <w:noProof/>
        </w:rPr>
        <w:lastRenderedPageBreak/>
        <w:t>.</w:t>
      </w:r>
      <w:r w:rsidRPr="005760E8">
        <w:rPr>
          <w:noProof/>
        </w:rPr>
        <w:t xml:space="preserve"> </w:t>
      </w:r>
      <w:r>
        <w:rPr>
          <w:noProof/>
        </w:rPr>
        <w:drawing>
          <wp:inline distT="0" distB="0" distL="0" distR="0" wp14:anchorId="64C3BEFE" wp14:editId="4482FD13">
            <wp:extent cx="5467350" cy="3124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921" t="16740" r="28902" b="27253"/>
                    <a:stretch/>
                  </pic:blipFill>
                  <pic:spPr bwMode="auto">
                    <a:xfrm>
                      <a:off x="0" y="0"/>
                      <a:ext cx="5467350" cy="3124200"/>
                    </a:xfrm>
                    <a:prstGeom prst="rect">
                      <a:avLst/>
                    </a:prstGeom>
                    <a:ln>
                      <a:noFill/>
                    </a:ln>
                    <a:extLst>
                      <a:ext uri="{53640926-AAD7-44D8-BBD7-CCE9431645EC}">
                        <a14:shadowObscured xmlns:a14="http://schemas.microsoft.com/office/drawing/2010/main"/>
                      </a:ext>
                    </a:extLst>
                  </pic:spPr>
                </pic:pic>
              </a:graphicData>
            </a:graphic>
          </wp:inline>
        </w:drawing>
      </w:r>
    </w:p>
    <w:p w:rsidR="000B3812" w:rsidRDefault="000B3812" w:rsidP="000B3812"/>
    <w:p w:rsidR="000B3812" w:rsidRDefault="000B3812" w:rsidP="000B3812"/>
    <w:p w:rsidR="000B3812" w:rsidRDefault="000B3812" w:rsidP="000B3812"/>
    <w:p w:rsidR="000B3812" w:rsidRPr="00A60EF8" w:rsidRDefault="000B3812" w:rsidP="000B3812">
      <w:pPr>
        <w:rPr>
          <w:b/>
        </w:rPr>
      </w:pPr>
      <w:r w:rsidRPr="002D360B">
        <w:rPr>
          <w:b/>
          <w:i/>
          <w:u w:val="single"/>
        </w:rPr>
        <w:t>Question 2</w:t>
      </w:r>
      <w:r>
        <w:rPr>
          <w:b/>
        </w:rPr>
        <w:t> : En 2014/2015, combien d’individus estiment avoir « à peu près » le même statut que leur père</w:t>
      </w:r>
      <w:r w:rsidRPr="00A60EF8">
        <w:rPr>
          <w:b/>
        </w:rPr>
        <w:t>?</w:t>
      </w:r>
    </w:p>
    <w:p w:rsidR="000B3812" w:rsidRDefault="000B3812" w:rsidP="000B3812">
      <w:pPr>
        <w:rPr>
          <w:color w:val="FABF8F" w:themeColor="accent6" w:themeTint="99"/>
        </w:rPr>
      </w:pPr>
    </w:p>
    <w:p w:rsidR="000B3812" w:rsidRPr="00E31A6F" w:rsidRDefault="000B3812" w:rsidP="000B3812">
      <w:pPr>
        <w:rPr>
          <w:b/>
          <w:color w:val="FABF8F" w:themeColor="accent6" w:themeTint="99"/>
        </w:rPr>
      </w:pPr>
      <w:r w:rsidRPr="00E31A6F">
        <w:rPr>
          <w:b/>
          <w:color w:val="FABF8F" w:themeColor="accent6" w:themeTint="99"/>
        </w:rPr>
        <w:t>Idem pour localiser le document</w:t>
      </w:r>
    </w:p>
    <w:p w:rsidR="000B3812" w:rsidRDefault="000B3812" w:rsidP="000B3812">
      <w:pPr>
        <w:rPr>
          <w:b/>
          <w:color w:val="FABF8F" w:themeColor="accent6" w:themeTint="99"/>
        </w:rPr>
      </w:pPr>
      <w:r w:rsidRPr="00E31A6F">
        <w:rPr>
          <w:b/>
          <w:color w:val="FABF8F" w:themeColor="accent6" w:themeTint="99"/>
        </w:rPr>
        <w:t>Intérêt</w:t>
      </w:r>
      <w:r>
        <w:rPr>
          <w:b/>
          <w:color w:val="FABF8F" w:themeColor="accent6" w:themeTint="99"/>
        </w:rPr>
        <w:t xml:space="preserve"> de la question </w:t>
      </w:r>
      <w:r w:rsidRPr="00E31A6F">
        <w:rPr>
          <w:b/>
          <w:color w:val="FABF8F" w:themeColor="accent6" w:themeTint="99"/>
        </w:rPr>
        <w:t xml:space="preserve">: permet d’aborder </w:t>
      </w:r>
      <w:r>
        <w:rPr>
          <w:b/>
          <w:color w:val="FABF8F" w:themeColor="accent6" w:themeTint="99"/>
        </w:rPr>
        <w:t>la question du sentiment d</w:t>
      </w:r>
      <w:r w:rsidRPr="00E31A6F">
        <w:rPr>
          <w:b/>
          <w:color w:val="FABF8F" w:themeColor="accent6" w:themeTint="99"/>
        </w:rPr>
        <w:t>’immobilité</w:t>
      </w:r>
    </w:p>
    <w:p w:rsidR="000B3812" w:rsidRPr="00E31A6F" w:rsidRDefault="000B3812" w:rsidP="000B3812">
      <w:pPr>
        <w:rPr>
          <w:b/>
          <w:color w:val="FABF8F" w:themeColor="accent6" w:themeTint="99"/>
        </w:rPr>
      </w:pPr>
    </w:p>
    <w:p w:rsidR="000B3812" w:rsidRDefault="000B3812" w:rsidP="000B3812">
      <w:pPr>
        <w:rPr>
          <w:color w:val="FABF8F" w:themeColor="accent6" w:themeTint="99"/>
        </w:rPr>
      </w:pPr>
      <w:r>
        <w:rPr>
          <w:noProof/>
        </w:rPr>
        <w:drawing>
          <wp:inline distT="0" distB="0" distL="0" distR="0" wp14:anchorId="7033A3D5" wp14:editId="08210BBB">
            <wp:extent cx="4619625" cy="40100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3" t="11367" r="33176" b="10306"/>
                    <a:stretch/>
                  </pic:blipFill>
                  <pic:spPr bwMode="auto">
                    <a:xfrm>
                      <a:off x="0" y="0"/>
                      <a:ext cx="4619625" cy="4010025"/>
                    </a:xfrm>
                    <a:prstGeom prst="rect">
                      <a:avLst/>
                    </a:prstGeom>
                    <a:ln>
                      <a:noFill/>
                    </a:ln>
                    <a:extLst>
                      <a:ext uri="{53640926-AAD7-44D8-BBD7-CCE9431645EC}">
                        <a14:shadowObscured xmlns:a14="http://schemas.microsoft.com/office/drawing/2010/main"/>
                      </a:ext>
                    </a:extLst>
                  </pic:spPr>
                </pic:pic>
              </a:graphicData>
            </a:graphic>
          </wp:inline>
        </w:drawing>
      </w:r>
    </w:p>
    <w:p w:rsidR="000B3812" w:rsidRPr="00A60EF8" w:rsidRDefault="000B3812" w:rsidP="000B3812">
      <w:pPr>
        <w:rPr>
          <w:color w:val="FABF8F" w:themeColor="accent6" w:themeTint="99"/>
        </w:rPr>
      </w:pPr>
      <w:r>
        <w:rPr>
          <w:noProof/>
        </w:rPr>
        <w:t>.</w:t>
      </w:r>
    </w:p>
    <w:p w:rsidR="000B3812" w:rsidRDefault="000B3812" w:rsidP="000B3812"/>
    <w:p w:rsidR="000B3812" w:rsidRPr="00E92AA8" w:rsidRDefault="000B3812" w:rsidP="000B3812">
      <w:pPr>
        <w:rPr>
          <w:b/>
        </w:rPr>
      </w:pPr>
      <w:r w:rsidRPr="001A7DDE">
        <w:rPr>
          <w:b/>
          <w:i/>
          <w:u w:val="single"/>
        </w:rPr>
        <w:t>Question 3</w:t>
      </w:r>
      <w:r>
        <w:rPr>
          <w:b/>
        </w:rPr>
        <w:t> :</w:t>
      </w:r>
      <w:r w:rsidRPr="00E92AA8">
        <w:rPr>
          <w:b/>
        </w:rPr>
        <w:t xml:space="preserve"> Concernant la mobilité sociale observée, quel est le pourcentage d’hommes qui connaissent une mobilité </w:t>
      </w:r>
      <w:proofErr w:type="gramStart"/>
      <w:r w:rsidRPr="00E92AA8">
        <w:rPr>
          <w:b/>
        </w:rPr>
        <w:t>a</w:t>
      </w:r>
      <w:r>
        <w:rPr>
          <w:b/>
        </w:rPr>
        <w:t xml:space="preserve">scendante </w:t>
      </w:r>
      <w:r w:rsidRPr="00E92AA8">
        <w:rPr>
          <w:b/>
        </w:rPr>
        <w:t> ?</w:t>
      </w:r>
      <w:proofErr w:type="gramEnd"/>
    </w:p>
    <w:p w:rsidR="000B3812" w:rsidRDefault="000B3812" w:rsidP="000B3812">
      <w:pPr>
        <w:rPr>
          <w:color w:val="FABF8F" w:themeColor="accent6" w:themeTint="99"/>
        </w:rPr>
      </w:pPr>
    </w:p>
    <w:p w:rsidR="000B3812" w:rsidRDefault="000B3812" w:rsidP="000B3812">
      <w:pPr>
        <w:rPr>
          <w:b/>
          <w:color w:val="FABF8F" w:themeColor="accent6" w:themeTint="99"/>
        </w:rPr>
      </w:pPr>
      <w:r w:rsidRPr="00E31A6F">
        <w:rPr>
          <w:b/>
          <w:color w:val="FABF8F" w:themeColor="accent6" w:themeTint="99"/>
        </w:rPr>
        <w:lastRenderedPageBreak/>
        <w:t xml:space="preserve">Correction : allez sur le site </w:t>
      </w:r>
      <w:r>
        <w:rPr>
          <w:b/>
          <w:color w:val="FABF8F" w:themeColor="accent6" w:themeTint="99"/>
        </w:rPr>
        <w:t xml:space="preserve">ses </w:t>
      </w:r>
      <w:proofErr w:type="spellStart"/>
      <w:r>
        <w:rPr>
          <w:b/>
          <w:color w:val="FABF8F" w:themeColor="accent6" w:themeTint="99"/>
        </w:rPr>
        <w:t>ens</w:t>
      </w:r>
      <w:proofErr w:type="spellEnd"/>
      <w:r>
        <w:rPr>
          <w:b/>
          <w:color w:val="FABF8F" w:themeColor="accent6" w:themeTint="99"/>
        </w:rPr>
        <w:t xml:space="preserve">, et on peut y retrouver le dossier INSEE </w:t>
      </w:r>
      <w:r w:rsidRPr="00E31A6F">
        <w:rPr>
          <w:b/>
          <w:color w:val="FABF8F" w:themeColor="accent6" w:themeTint="99"/>
        </w:rPr>
        <w:t>première N°1659</w:t>
      </w:r>
    </w:p>
    <w:p w:rsidR="000B3812" w:rsidRPr="00E31A6F" w:rsidRDefault="000B3812" w:rsidP="000B3812">
      <w:pPr>
        <w:rPr>
          <w:b/>
          <w:color w:val="FABF8F" w:themeColor="accent6" w:themeTint="99"/>
        </w:rPr>
      </w:pPr>
    </w:p>
    <w:p w:rsidR="000B3812" w:rsidRDefault="000B3812" w:rsidP="000B3812">
      <w:pPr>
        <w:rPr>
          <w:color w:val="FABF8F" w:themeColor="accent6" w:themeTint="99"/>
        </w:rPr>
      </w:pPr>
      <w:r>
        <w:rPr>
          <w:noProof/>
        </w:rPr>
        <w:drawing>
          <wp:inline distT="0" distB="0" distL="0" distR="0" wp14:anchorId="76CBC764" wp14:editId="02AD4BF5">
            <wp:extent cx="4962525" cy="14668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17" t="37117" r="30886" b="43166"/>
                    <a:stretch/>
                  </pic:blipFill>
                  <pic:spPr bwMode="auto">
                    <a:xfrm>
                      <a:off x="0" y="0"/>
                      <a:ext cx="4962525" cy="1466850"/>
                    </a:xfrm>
                    <a:prstGeom prst="rect">
                      <a:avLst/>
                    </a:prstGeom>
                    <a:ln>
                      <a:noFill/>
                    </a:ln>
                    <a:extLst>
                      <a:ext uri="{53640926-AAD7-44D8-BBD7-CCE9431645EC}">
                        <a14:shadowObscured xmlns:a14="http://schemas.microsoft.com/office/drawing/2010/main"/>
                      </a:ext>
                    </a:extLst>
                  </pic:spPr>
                </pic:pic>
              </a:graphicData>
            </a:graphic>
          </wp:inline>
        </w:drawing>
      </w:r>
    </w:p>
    <w:p w:rsidR="000B3812" w:rsidRPr="00B55607" w:rsidRDefault="000B3812" w:rsidP="000B3812"/>
    <w:p w:rsidR="000B3812" w:rsidRPr="00B55607" w:rsidRDefault="000B3812" w:rsidP="000B3812"/>
    <w:p w:rsidR="000B3812" w:rsidRPr="001A7DDE" w:rsidRDefault="000B3812" w:rsidP="000B3812">
      <w:pPr>
        <w:rPr>
          <w:b/>
        </w:rPr>
      </w:pPr>
      <w:r w:rsidRPr="001A7DDE">
        <w:rPr>
          <w:b/>
          <w:i/>
          <w:u w:val="single"/>
        </w:rPr>
        <w:t>Question 4</w:t>
      </w:r>
      <w:r>
        <w:t xml:space="preserve"> : </w:t>
      </w:r>
      <w:r w:rsidRPr="001A7DDE">
        <w:rPr>
          <w:b/>
        </w:rPr>
        <w:t>Quel pourcentage d’individus qui connaissent une mobilité descendante se sentent déclassés par rapport à leur père ? (données 2014-2015)</w:t>
      </w:r>
    </w:p>
    <w:p w:rsidR="000B3812" w:rsidRPr="001A7DDE" w:rsidRDefault="000B3812" w:rsidP="000B3812">
      <w:pPr>
        <w:rPr>
          <w:b/>
          <w:color w:val="FABF8F" w:themeColor="accent6" w:themeTint="99"/>
        </w:rPr>
      </w:pPr>
      <w:r w:rsidRPr="001A7DDE">
        <w:rPr>
          <w:b/>
          <w:color w:val="FABF8F" w:themeColor="accent6" w:themeTint="99"/>
        </w:rPr>
        <w:t>.</w:t>
      </w:r>
    </w:p>
    <w:p w:rsidR="000B3812" w:rsidRPr="00E31A6F" w:rsidRDefault="000B3812" w:rsidP="000B3812">
      <w:pPr>
        <w:rPr>
          <w:b/>
        </w:rPr>
      </w:pPr>
      <w:r w:rsidRPr="00E31A6F">
        <w:rPr>
          <w:b/>
          <w:color w:val="FABF8F" w:themeColor="accent6" w:themeTint="99"/>
        </w:rPr>
        <w:t>Intérêt : il sera intéressant de comparer le sentiment de déclassement et les données de mobilité sociale observée ci-dessus (en question 3)</w:t>
      </w:r>
    </w:p>
    <w:p w:rsidR="000B3812" w:rsidRPr="002F25CC" w:rsidRDefault="000B3812" w:rsidP="000B3812">
      <w:pPr>
        <w:rPr>
          <w:color w:val="FABF8F" w:themeColor="accent6" w:themeTint="99"/>
        </w:rPr>
      </w:pPr>
      <w:r>
        <w:rPr>
          <w:noProof/>
        </w:rPr>
        <w:drawing>
          <wp:inline distT="0" distB="0" distL="0" distR="0" wp14:anchorId="4D479699" wp14:editId="4E6945F3">
            <wp:extent cx="4743450" cy="42957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21" t="13020" r="30720" b="5553"/>
                    <a:stretch/>
                  </pic:blipFill>
                  <pic:spPr bwMode="auto">
                    <a:xfrm>
                      <a:off x="0" y="0"/>
                      <a:ext cx="4743450" cy="4295775"/>
                    </a:xfrm>
                    <a:prstGeom prst="rect">
                      <a:avLst/>
                    </a:prstGeom>
                    <a:ln>
                      <a:noFill/>
                    </a:ln>
                    <a:extLst>
                      <a:ext uri="{53640926-AAD7-44D8-BBD7-CCE9431645EC}">
                        <a14:shadowObscured xmlns:a14="http://schemas.microsoft.com/office/drawing/2010/main"/>
                      </a:ext>
                    </a:extLst>
                  </pic:spPr>
                </pic:pic>
              </a:graphicData>
            </a:graphic>
          </wp:inline>
        </w:drawing>
      </w:r>
    </w:p>
    <w:p w:rsidR="000B3812" w:rsidRDefault="000B3812" w:rsidP="000B3812"/>
    <w:p w:rsidR="000B3812" w:rsidRDefault="000B3812" w:rsidP="000B3812">
      <w:r w:rsidRPr="001A7DDE">
        <w:rPr>
          <w:b/>
          <w:i/>
          <w:u w:val="single"/>
        </w:rPr>
        <w:t>Question</w:t>
      </w:r>
      <w:r>
        <w:t xml:space="preserve"> </w:t>
      </w:r>
      <w:r w:rsidRPr="001A7DDE">
        <w:rPr>
          <w:b/>
        </w:rPr>
        <w:t>5</w:t>
      </w:r>
      <w:r>
        <w:t xml:space="preserve"> : </w:t>
      </w:r>
      <w:r w:rsidRPr="001A7DDE">
        <w:rPr>
          <w:b/>
        </w:rPr>
        <w:t>Combien de femmes employées avaient un père ouvrier ?</w:t>
      </w:r>
      <w:r>
        <w:t xml:space="preserve"> </w:t>
      </w:r>
    </w:p>
    <w:p w:rsidR="000B3812" w:rsidRDefault="000B3812" w:rsidP="000B3812">
      <w:pPr>
        <w:rPr>
          <w:b/>
          <w:color w:val="FABF8F" w:themeColor="accent6" w:themeTint="99"/>
        </w:rPr>
      </w:pPr>
      <w:r w:rsidRPr="001A7DDE">
        <w:rPr>
          <w:b/>
          <w:color w:val="FABF8F" w:themeColor="accent6" w:themeTint="99"/>
        </w:rPr>
        <w:t xml:space="preserve">Correction, il faudra aller chercher la réponse dans les données complémentaires </w:t>
      </w:r>
      <w:proofErr w:type="gramStart"/>
      <w:r w:rsidRPr="001A7DDE">
        <w:rPr>
          <w:b/>
          <w:color w:val="FABF8F" w:themeColor="accent6" w:themeTint="99"/>
        </w:rPr>
        <w:t>de INSEE</w:t>
      </w:r>
      <w:proofErr w:type="gramEnd"/>
      <w:r w:rsidRPr="001A7DDE">
        <w:rPr>
          <w:b/>
          <w:color w:val="FABF8F" w:themeColor="accent6" w:themeTint="99"/>
        </w:rPr>
        <w:t xml:space="preserve"> première (document </w:t>
      </w:r>
      <w:proofErr w:type="spellStart"/>
      <w:r w:rsidRPr="001A7DDE">
        <w:rPr>
          <w:b/>
          <w:color w:val="FABF8F" w:themeColor="accent6" w:themeTint="99"/>
        </w:rPr>
        <w:t>excel</w:t>
      </w:r>
      <w:proofErr w:type="spellEnd"/>
      <w:r w:rsidRPr="001A7DDE">
        <w:rPr>
          <w:b/>
          <w:color w:val="FABF8F" w:themeColor="accent6" w:themeTint="99"/>
        </w:rPr>
        <w:t>)</w:t>
      </w:r>
    </w:p>
    <w:p w:rsidR="000B3812" w:rsidRPr="001A7DDE" w:rsidRDefault="000B3812" w:rsidP="000B3812">
      <w:pPr>
        <w:rPr>
          <w:sz w:val="20"/>
          <w:szCs w:val="20"/>
        </w:rPr>
      </w:pPr>
    </w:p>
    <w:p w:rsidR="000B3812" w:rsidRPr="001A7DDE" w:rsidRDefault="000B3812" w:rsidP="000B3812">
      <w:pPr>
        <w:rPr>
          <w:sz w:val="20"/>
          <w:szCs w:val="20"/>
        </w:rPr>
      </w:pPr>
    </w:p>
    <w:p w:rsidR="000B3812" w:rsidRPr="001A7DDE" w:rsidRDefault="000B3812" w:rsidP="000B3812">
      <w:pPr>
        <w:rPr>
          <w:rFonts w:ascii="Arial" w:hAnsi="Arial" w:cs="Arial"/>
          <w:color w:val="FABF8F" w:themeColor="accent6" w:themeTint="99"/>
          <w:sz w:val="20"/>
          <w:szCs w:val="20"/>
        </w:rPr>
      </w:pPr>
      <w:r w:rsidRPr="001A7DDE">
        <w:rPr>
          <w:rFonts w:ascii="Arial" w:hAnsi="Arial" w:cs="Arial"/>
          <w:color w:val="FABF8F" w:themeColor="accent6" w:themeTint="99"/>
          <w:sz w:val="20"/>
          <w:szCs w:val="20"/>
        </w:rPr>
        <w:t>Lecture : 21,5 % des femmes sont employées et avaient un père ouvrier.</w:t>
      </w:r>
    </w:p>
    <w:p w:rsidR="00211368" w:rsidRDefault="00211368">
      <w:bookmarkStart w:id="0" w:name="_GoBack"/>
      <w:bookmarkEnd w:id="0"/>
    </w:p>
    <w:sectPr w:rsidR="00211368" w:rsidSect="000B38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812"/>
    <w:rsid w:val="000B3812"/>
    <w:rsid w:val="00211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1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0B3812"/>
    <w:rPr>
      <w:color w:val="0000FF" w:themeColor="hyperlink"/>
      <w:u w:val="single"/>
    </w:rPr>
  </w:style>
  <w:style w:type="character" w:styleId="CitationHTML">
    <w:name w:val="HTML Cite"/>
    <w:basedOn w:val="Policepardfaut"/>
    <w:uiPriority w:val="99"/>
    <w:semiHidden/>
    <w:unhideWhenUsed/>
    <w:rsid w:val="000B3812"/>
    <w:rPr>
      <w:i/>
      <w:iCs/>
    </w:rPr>
  </w:style>
  <w:style w:type="paragraph" w:styleId="Textedebulles">
    <w:name w:val="Balloon Text"/>
    <w:basedOn w:val="Normal"/>
    <w:link w:val="TextedebullesCar"/>
    <w:uiPriority w:val="99"/>
    <w:semiHidden/>
    <w:unhideWhenUsed/>
    <w:rsid w:val="000B3812"/>
    <w:rPr>
      <w:rFonts w:ascii="Tahoma" w:hAnsi="Tahoma" w:cs="Tahoma"/>
      <w:sz w:val="16"/>
      <w:szCs w:val="16"/>
    </w:rPr>
  </w:style>
  <w:style w:type="character" w:customStyle="1" w:styleId="TextedebullesCar">
    <w:name w:val="Texte de bulles Car"/>
    <w:basedOn w:val="Policepardfaut"/>
    <w:link w:val="Textedebulles"/>
    <w:uiPriority w:val="99"/>
    <w:semiHidden/>
    <w:rsid w:val="000B3812"/>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1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0B3812"/>
    <w:rPr>
      <w:color w:val="0000FF" w:themeColor="hyperlink"/>
      <w:u w:val="single"/>
    </w:rPr>
  </w:style>
  <w:style w:type="character" w:styleId="CitationHTML">
    <w:name w:val="HTML Cite"/>
    <w:basedOn w:val="Policepardfaut"/>
    <w:uiPriority w:val="99"/>
    <w:semiHidden/>
    <w:unhideWhenUsed/>
    <w:rsid w:val="000B3812"/>
    <w:rPr>
      <w:i/>
      <w:iCs/>
    </w:rPr>
  </w:style>
  <w:style w:type="paragraph" w:styleId="Textedebulles">
    <w:name w:val="Balloon Text"/>
    <w:basedOn w:val="Normal"/>
    <w:link w:val="TextedebullesCar"/>
    <w:uiPriority w:val="99"/>
    <w:semiHidden/>
    <w:unhideWhenUsed/>
    <w:rsid w:val="000B3812"/>
    <w:rPr>
      <w:rFonts w:ascii="Tahoma" w:hAnsi="Tahoma" w:cs="Tahoma"/>
      <w:sz w:val="16"/>
      <w:szCs w:val="16"/>
    </w:rPr>
  </w:style>
  <w:style w:type="character" w:customStyle="1" w:styleId="TextedebullesCar">
    <w:name w:val="Texte de bulles Car"/>
    <w:basedOn w:val="Policepardfaut"/>
    <w:link w:val="Textedebulles"/>
    <w:uiPriority w:val="99"/>
    <w:semiHidden/>
    <w:rsid w:val="000B3812"/>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es.ens-lyon.fr/" TargetMode="External"/><Relationship Id="rId11" Type="http://schemas.openxmlformats.org/officeDocument/2006/relationships/fontTable" Target="fontTable.xml"/><Relationship Id="rId5" Type="http://schemas.openxmlformats.org/officeDocument/2006/relationships/hyperlink" Target="https://www.insee.f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493</Words>
  <Characters>2716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margot</cp:lastModifiedBy>
  <cp:revision>1</cp:revision>
  <dcterms:created xsi:type="dcterms:W3CDTF">2018-03-07T08:30:00Z</dcterms:created>
  <dcterms:modified xsi:type="dcterms:W3CDTF">2018-03-07T08:33:00Z</dcterms:modified>
</cp:coreProperties>
</file>