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Cambria" w:cs="Calibri" w:cstheme="minorHAnsi"/>
          <w:b/>
          <w:b/>
          <w:sz w:val="24"/>
          <w:szCs w:val="24"/>
        </w:rPr>
      </w:pPr>
      <w:r>
        <w:rPr>
          <w:rFonts w:eastAsia="Cambria" w:cs="Calibri" w:cstheme="minorHAnsi"/>
          <w:b/>
          <w:sz w:val="24"/>
          <w:szCs w:val="24"/>
        </w:rPr>
        <w:t xml:space="preserve">Atelier de la journée académique en SES sur les compétences </w:t>
      </w:r>
    </w:p>
    <w:p>
      <w:pPr>
        <w:pStyle w:val="Normal"/>
        <w:spacing w:lineRule="auto" w:line="240" w:before="0" w:after="0"/>
        <w:jc w:val="center"/>
        <w:rPr>
          <w:rFonts w:eastAsia="Cambria" w:cs="Calibri" w:cstheme="minorHAnsi"/>
          <w:b/>
          <w:b/>
          <w:sz w:val="24"/>
          <w:szCs w:val="24"/>
        </w:rPr>
      </w:pPr>
      <w:r>
        <w:rPr>
          <w:rFonts w:eastAsia="Cambria" w:cs="Calibri" w:cstheme="minorHAnsi"/>
          <w:b/>
          <w:sz w:val="24"/>
          <w:szCs w:val="24"/>
        </w:rPr>
        <w:t xml:space="preserve">Besançon – 3 octobre 2018 </w:t>
      </w:r>
    </w:p>
    <w:p>
      <w:pPr>
        <w:pStyle w:val="Normal"/>
        <w:spacing w:lineRule="auto" w:line="240" w:before="0" w:after="0"/>
        <w:jc w:val="center"/>
        <w:rPr>
          <w:rFonts w:eastAsia="Cambria" w:cs="Calibri" w:cstheme="minorHAnsi"/>
          <w:b/>
          <w:b/>
          <w:sz w:val="24"/>
          <w:szCs w:val="24"/>
        </w:rPr>
      </w:pPr>
      <w:r>
        <w:rPr>
          <w:rFonts w:eastAsia="Cambria"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eastAsia="Cambria" w:cs="Calibri" w:cstheme="minorHAnsi"/>
          <w:b/>
          <w:b/>
          <w:sz w:val="24"/>
          <w:szCs w:val="24"/>
        </w:rPr>
      </w:pPr>
      <w:r>
        <w:rPr>
          <w:rFonts w:eastAsia="Cambria" w:cs="Calibri" w:cstheme="minorHAnsi"/>
          <w:b/>
          <w:sz w:val="24"/>
          <w:szCs w:val="24"/>
        </w:rPr>
        <w:t>Evaluer l’argumentation</w:t>
      </w:r>
    </w:p>
    <w:p>
      <w:pPr>
        <w:pStyle w:val="Normal"/>
        <w:spacing w:lineRule="auto" w:line="240" w:before="0" w:after="0"/>
        <w:rPr>
          <w:rFonts w:eastAsia="Cambria" w:cs="Calibri" w:cstheme="minorHAnsi"/>
          <w:sz w:val="24"/>
          <w:szCs w:val="24"/>
        </w:rPr>
      </w:pPr>
      <w:r>
        <w:rPr>
          <w:rFonts w:eastAsia="Cambria"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mbria" w:cs="Calibri" w:cstheme="minorHAnsi"/>
          <w:i/>
          <w:i/>
          <w:sz w:val="24"/>
          <w:szCs w:val="24"/>
        </w:rPr>
      </w:pPr>
      <w:r>
        <w:rPr>
          <w:rFonts w:eastAsia="Cambria" w:cs="Calibri" w:cstheme="minorHAnsi"/>
          <w:i/>
          <w:sz w:val="24"/>
          <w:szCs w:val="24"/>
        </w:rPr>
        <w:t>Le document proposé présente une question posée aux élèves : « Le sel, chez les Baruya, est-il une monnaie ? », portant sur un document et huit réponses d’élèves dactylographiées (cf. doc pdf « évaluer l'argumentation »)</w:t>
      </w:r>
      <w:bookmarkStart w:id="0" w:name="_GoBack"/>
      <w:bookmarkEnd w:id="0"/>
      <w:r>
        <w:rPr>
          <w:rFonts w:eastAsia="Cambria" w:cs="Calibri" w:cstheme="minorHAnsi"/>
          <w:i/>
          <w:sz w:val="24"/>
          <w:szCs w:val="24"/>
        </w:rPr>
        <w:t>.</w:t>
      </w:r>
    </w:p>
    <w:p>
      <w:pPr>
        <w:pStyle w:val="Normal"/>
        <w:pBdr>
          <w:bottom w:val="single" w:sz="6" w:space="1" w:color="00000A"/>
        </w:pBdr>
        <w:spacing w:lineRule="auto" w:line="240" w:before="0" w:after="0"/>
        <w:rPr>
          <w:rFonts w:eastAsia="Cambria" w:cs="Calibri" w:cstheme="minorHAnsi"/>
          <w:sz w:val="24"/>
          <w:szCs w:val="24"/>
        </w:rPr>
      </w:pPr>
      <w:r>
        <w:rPr>
          <w:rFonts w:eastAsia="Cambria"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mbria" w:cs="Calibri" w:cstheme="minorHAnsi"/>
          <w:sz w:val="24"/>
          <w:szCs w:val="24"/>
        </w:rPr>
      </w:pPr>
      <w:r>
        <w:rPr>
          <w:rFonts w:eastAsia="Cambria" w:cs="Calibri" w:cs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eastAsia="Cambria" w:cs="Calibri" w:cstheme="minorHAnsi"/>
          <w:b/>
          <w:b/>
          <w:sz w:val="24"/>
          <w:szCs w:val="24"/>
        </w:rPr>
      </w:pPr>
      <w:r>
        <w:rPr>
          <w:rFonts w:eastAsia="Cambria" w:cs="Calibri" w:cstheme="minorHAnsi"/>
          <w:b/>
          <w:sz w:val="24"/>
          <w:szCs w:val="24"/>
        </w:rPr>
        <w:t>Evaluation de la compétence « savoir argumenter » - les critères de réussite</w:t>
      </w:r>
    </w:p>
    <w:p>
      <w:pPr>
        <w:pStyle w:val="Normal"/>
        <w:spacing w:lineRule="auto" w:line="240" w:before="0" w:after="0"/>
        <w:rPr>
          <w:rFonts w:eastAsia="Cambria" w:cs="Calibri" w:cstheme="minorHAnsi"/>
          <w:sz w:val="24"/>
          <w:szCs w:val="24"/>
        </w:rPr>
      </w:pPr>
      <w:r>
        <w:rPr>
          <w:rFonts w:eastAsia="Cambria"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mbria" w:cs="Calibri" w:cstheme="minorHAnsi"/>
          <w:sz w:val="24"/>
          <w:szCs w:val="24"/>
        </w:rPr>
      </w:pPr>
      <w:r>
        <w:rPr>
          <w:rFonts w:eastAsia="Cambria" w:cs="Calibri" w:cstheme="minorHAnsi"/>
          <w:sz w:val="24"/>
          <w:szCs w:val="24"/>
        </w:rPr>
        <w:t>L’élève sait argumenter :</w:t>
      </w:r>
    </w:p>
    <w:p>
      <w:pPr>
        <w:pStyle w:val="Normal"/>
        <w:spacing w:lineRule="auto" w:line="240" w:before="0" w:after="0"/>
        <w:rPr>
          <w:rFonts w:eastAsia="Cambria" w:cs="Calibri" w:cstheme="minorHAnsi"/>
          <w:sz w:val="24"/>
          <w:szCs w:val="24"/>
        </w:rPr>
      </w:pPr>
      <w:r>
        <w:rPr>
          <w:rFonts w:eastAsia="Cambria" w:cs="Calibri" w:cstheme="minorHAnsi"/>
          <w:sz w:val="24"/>
          <w:szCs w:val="24"/>
        </w:rPr>
        <w:t>- s’il répond à la question posée (identification de la consigne) ;</w:t>
      </w:r>
    </w:p>
    <w:p>
      <w:pPr>
        <w:pStyle w:val="Normal"/>
        <w:spacing w:lineRule="auto" w:line="240" w:before="0" w:after="0"/>
        <w:rPr>
          <w:rFonts w:eastAsia="Cambria" w:cs="Calibri" w:cstheme="minorHAnsi"/>
          <w:sz w:val="24"/>
          <w:szCs w:val="24"/>
        </w:rPr>
      </w:pPr>
      <w:r>
        <w:rPr>
          <w:rFonts w:eastAsia="Cambria" w:cs="Calibri" w:cstheme="minorHAnsi"/>
          <w:sz w:val="24"/>
          <w:szCs w:val="24"/>
        </w:rPr>
        <w:t>- s’il mobilise les connaissances appropriées : notions, mécanismes ;</w:t>
      </w:r>
    </w:p>
    <w:p>
      <w:pPr>
        <w:pStyle w:val="Normal"/>
        <w:spacing w:lineRule="auto" w:line="240" w:before="0" w:after="0"/>
        <w:rPr>
          <w:rFonts w:eastAsia="Cambria" w:cs="Calibri" w:cstheme="minorHAnsi"/>
          <w:sz w:val="24"/>
          <w:szCs w:val="24"/>
        </w:rPr>
      </w:pPr>
      <w:r>
        <w:rPr>
          <w:rFonts w:eastAsia="Cambria" w:cs="Calibri" w:cstheme="minorHAnsi"/>
          <w:sz w:val="24"/>
          <w:szCs w:val="24"/>
        </w:rPr>
        <w:t>- s’il illustre son raisonnement (exemple).</w:t>
      </w:r>
    </w:p>
    <w:p>
      <w:pPr>
        <w:pStyle w:val="Normal"/>
        <w:spacing w:lineRule="auto" w:line="240" w:before="0" w:after="0"/>
        <w:rPr>
          <w:rFonts w:eastAsia="Cambria" w:cs="Calibri" w:cstheme="minorHAnsi"/>
          <w:sz w:val="24"/>
          <w:szCs w:val="24"/>
        </w:rPr>
      </w:pPr>
      <w:r>
        <w:rPr>
          <w:rFonts w:eastAsia="Cambria" w:cs="Calibri" w:cstheme="minorHAnsi"/>
          <w:sz w:val="24"/>
          <w:szCs w:val="24"/>
        </w:rPr>
        <w:t>- s’il structure son raisonnement : utilisation de connecteurs logiques, etc.</w:t>
      </w:r>
    </w:p>
    <w:p>
      <w:pPr>
        <w:pStyle w:val="Normal"/>
        <w:spacing w:lineRule="auto" w:line="240" w:before="0" w:after="0"/>
        <w:rPr>
          <w:rFonts w:eastAsia="Cambria" w:cs="Calibri" w:cstheme="minorHAnsi"/>
          <w:sz w:val="24"/>
          <w:szCs w:val="24"/>
        </w:rPr>
      </w:pPr>
      <w:r>
        <w:rPr>
          <w:rFonts w:eastAsia="Cambria"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mbria" w:cs="Calibri" w:cstheme="minorHAnsi"/>
          <w:sz w:val="24"/>
          <w:szCs w:val="24"/>
        </w:rPr>
      </w:pPr>
      <w:r>
        <w:rPr>
          <w:rFonts w:eastAsia="Cambria" w:cs="Calibri" w:cs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Cambria" w:cs="Calibri" w:cstheme="minorHAnsi"/>
          <w:b/>
          <w:b/>
          <w:sz w:val="24"/>
          <w:szCs w:val="24"/>
        </w:rPr>
      </w:pPr>
      <w:r>
        <w:rPr>
          <w:rFonts w:eastAsia="Cambria" w:cs="Calibri" w:cstheme="minorHAnsi"/>
          <w:b/>
          <w:sz w:val="24"/>
          <w:szCs w:val="24"/>
        </w:rPr>
        <w:t>Activités proposées en classe pour maitriser les capacités précédentes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Exercices sur les mots de liaison 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Catégoriser les mots de liaison : énumération, opposition, etc.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</w:rPr>
        <w:t>Exercice à partir d’un édito de France Culture. L’élève en choisit un, identifie les 2 ou 3 arguments et les 2 ou 3 exemples chiffrés. Cf. document « Le rituel des émissions de radio de SES » (également sur le site académique).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Remettre dans l’ordre des phrases permettant de reconstruire l’argumentation.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Identifier les différents temps de l’argumentation dans un texte, une copie ou un corrigé, avec un code couleur.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43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mbria" w:cs="Times New Roman"/>
      <w:b/>
      <w:sz w:val="24"/>
    </w:rPr>
  </w:style>
  <w:style w:type="character" w:styleId="ListLabel2">
    <w:name w:val="ListLabel 2"/>
    <w:qFormat/>
    <w:rPr>
      <w:rFonts w:eastAsia="Cambria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Collabora_Office/5.3.10.43$Linux_X86_64 LibreOffice_project/68fd5b36e31f7d0efbefc14d018b10cc9c7de22c</Application>
  <Pages>1</Pages>
  <Words>205</Words>
  <Characters>1083</Characters>
  <CharactersWithSpaces>1273</CharactersWithSpaces>
  <Paragraphs>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2018-11-15T21:51:00Z</dcterms:created>
  <dc:creator>HP</dc:creator>
  <dc:description/>
  <dc:language>fr-FR</dc:language>
  <cp:lastModifiedBy/>
  <dcterms:modified xsi:type="dcterms:W3CDTF">2018-11-22T14:14:38Z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