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50" w:rsidRDefault="00A138B6" w:rsidP="00A138B6">
      <w:pPr>
        <w:spacing w:after="0" w:line="240" w:lineRule="auto"/>
        <w:jc w:val="both"/>
        <w:rPr>
          <w:b/>
        </w:rPr>
      </w:pPr>
      <w:r w:rsidRPr="00202353">
        <w:rPr>
          <w:b/>
        </w:rPr>
        <w:t>Titre de la séquence</w:t>
      </w:r>
      <w:r>
        <w:rPr>
          <w:b/>
        </w:rPr>
        <w:t xml:space="preserve"> </w:t>
      </w:r>
    </w:p>
    <w:p w:rsidR="00A138B6" w:rsidRPr="00E37150" w:rsidRDefault="00A138B6" w:rsidP="00E37150">
      <w:pPr>
        <w:spacing w:after="0" w:line="240" w:lineRule="auto"/>
        <w:jc w:val="center"/>
        <w:rPr>
          <w:b/>
        </w:rPr>
      </w:pPr>
      <w:r w:rsidRPr="00E37150">
        <w:rPr>
          <w:b/>
        </w:rPr>
        <w:t>Le financement des administrations publiques ou comment faire rentrer la couette dans la housse…</w:t>
      </w:r>
    </w:p>
    <w:p w:rsidR="00A138B6" w:rsidRPr="00202353" w:rsidRDefault="00A138B6" w:rsidP="00A138B6">
      <w:pPr>
        <w:spacing w:after="0" w:line="240" w:lineRule="auto"/>
        <w:jc w:val="both"/>
        <w:rPr>
          <w:b/>
        </w:rPr>
      </w:pPr>
    </w:p>
    <w:p w:rsidR="00A138B6" w:rsidRPr="00202353" w:rsidRDefault="00A138B6" w:rsidP="00A138B6">
      <w:pPr>
        <w:pStyle w:val="Paragraphedeliste"/>
        <w:numPr>
          <w:ilvl w:val="0"/>
          <w:numId w:val="1"/>
        </w:numPr>
        <w:spacing w:after="0" w:line="240" w:lineRule="auto"/>
        <w:jc w:val="both"/>
        <w:rPr>
          <w:b/>
        </w:rPr>
      </w:pPr>
      <w:r w:rsidRPr="00202353">
        <w:rPr>
          <w:b/>
        </w:rPr>
        <w:t>Présentation générale de la séquence</w:t>
      </w:r>
    </w:p>
    <w:p w:rsidR="00A138B6" w:rsidRPr="00202353" w:rsidRDefault="00A138B6" w:rsidP="00A138B6">
      <w:pPr>
        <w:spacing w:after="0" w:line="240" w:lineRule="auto"/>
        <w:jc w:val="both"/>
        <w:rPr>
          <w:b/>
        </w:rPr>
      </w:pPr>
    </w:p>
    <w:tbl>
      <w:tblPr>
        <w:tblStyle w:val="Grilledutableau"/>
        <w:tblW w:w="0" w:type="auto"/>
        <w:tblLook w:val="04A0" w:firstRow="1" w:lastRow="0" w:firstColumn="1" w:lastColumn="0" w:noHBand="0" w:noVBand="1"/>
      </w:tblPr>
      <w:tblGrid>
        <w:gridCol w:w="2660"/>
        <w:gridCol w:w="6552"/>
      </w:tblGrid>
      <w:tr w:rsidR="00A138B6" w:rsidRPr="00202353" w:rsidTr="00DF3C83">
        <w:tc>
          <w:tcPr>
            <w:tcW w:w="2660" w:type="dxa"/>
          </w:tcPr>
          <w:p w:rsidR="00A138B6" w:rsidRPr="00202353" w:rsidRDefault="00A138B6" w:rsidP="00DF3C83">
            <w:pPr>
              <w:jc w:val="both"/>
              <w:rPr>
                <w:b/>
              </w:rPr>
            </w:pPr>
            <w:r w:rsidRPr="00202353">
              <w:rPr>
                <w:b/>
              </w:rPr>
              <w:t>Niveau</w:t>
            </w:r>
          </w:p>
        </w:tc>
        <w:tc>
          <w:tcPr>
            <w:tcW w:w="6552" w:type="dxa"/>
          </w:tcPr>
          <w:p w:rsidR="00A138B6" w:rsidRPr="00202353" w:rsidRDefault="00A138B6" w:rsidP="00DF3C83">
            <w:pPr>
              <w:jc w:val="both"/>
              <w:rPr>
                <w:b/>
              </w:rPr>
            </w:pPr>
            <w:r w:rsidRPr="00202353">
              <w:rPr>
                <w:b/>
              </w:rPr>
              <w:t xml:space="preserve">Première –Science économique, </w:t>
            </w:r>
          </w:p>
        </w:tc>
      </w:tr>
      <w:tr w:rsidR="00A138B6" w:rsidRPr="00202353" w:rsidTr="00DF3C83">
        <w:tc>
          <w:tcPr>
            <w:tcW w:w="2660" w:type="dxa"/>
          </w:tcPr>
          <w:p w:rsidR="00A138B6" w:rsidRPr="00202353" w:rsidRDefault="00A138B6" w:rsidP="00DF3C83">
            <w:pPr>
              <w:jc w:val="both"/>
              <w:rPr>
                <w:b/>
              </w:rPr>
            </w:pPr>
            <w:r w:rsidRPr="00202353">
              <w:rPr>
                <w:b/>
              </w:rPr>
              <w:t>Questionnement</w:t>
            </w:r>
          </w:p>
          <w:p w:rsidR="00A138B6" w:rsidRPr="00202353" w:rsidRDefault="00A138B6" w:rsidP="00DF3C83">
            <w:pPr>
              <w:jc w:val="both"/>
              <w:rPr>
                <w:b/>
              </w:rPr>
            </w:pPr>
            <w:r w:rsidRPr="00202353">
              <w:t>(cf. programme)</w:t>
            </w:r>
          </w:p>
        </w:tc>
        <w:tc>
          <w:tcPr>
            <w:tcW w:w="6552" w:type="dxa"/>
          </w:tcPr>
          <w:p w:rsidR="00A138B6" w:rsidRPr="00202353" w:rsidRDefault="00A138B6" w:rsidP="00DF3C83">
            <w:pPr>
              <w:pStyle w:val="Default"/>
              <w:jc w:val="both"/>
              <w:rPr>
                <w:rFonts w:asciiTheme="minorHAnsi" w:hAnsiTheme="minorHAnsi"/>
                <w:sz w:val="22"/>
                <w:szCs w:val="22"/>
              </w:rPr>
            </w:pPr>
            <w:r w:rsidRPr="00202353">
              <w:rPr>
                <w:rFonts w:asciiTheme="minorHAnsi" w:hAnsiTheme="minorHAnsi"/>
                <w:b/>
                <w:bCs/>
                <w:sz w:val="22"/>
                <w:szCs w:val="22"/>
              </w:rPr>
              <w:t xml:space="preserve">Comment les agents économiques se financent-ils ? </w:t>
            </w:r>
          </w:p>
        </w:tc>
      </w:tr>
      <w:tr w:rsidR="00A138B6" w:rsidRPr="00202353" w:rsidTr="00DF3C83">
        <w:tc>
          <w:tcPr>
            <w:tcW w:w="2660" w:type="dxa"/>
          </w:tcPr>
          <w:p w:rsidR="00A138B6" w:rsidRPr="00202353" w:rsidRDefault="00A138B6" w:rsidP="00DF3C83">
            <w:pPr>
              <w:jc w:val="both"/>
              <w:rPr>
                <w:b/>
              </w:rPr>
            </w:pPr>
            <w:r w:rsidRPr="00202353">
              <w:rPr>
                <w:b/>
              </w:rPr>
              <w:t>Objectifs d’apprentissage</w:t>
            </w:r>
          </w:p>
          <w:p w:rsidR="00A138B6" w:rsidRPr="00202353" w:rsidRDefault="00A138B6" w:rsidP="00DF3C83">
            <w:pPr>
              <w:jc w:val="both"/>
            </w:pPr>
            <w:r w:rsidRPr="00202353">
              <w:t>(cf. programme)</w:t>
            </w:r>
          </w:p>
        </w:tc>
        <w:tc>
          <w:tcPr>
            <w:tcW w:w="6552" w:type="dxa"/>
          </w:tcPr>
          <w:p w:rsidR="00A138B6" w:rsidRPr="00202353" w:rsidRDefault="00A138B6" w:rsidP="00DF3C83">
            <w:pPr>
              <w:pStyle w:val="Default"/>
              <w:jc w:val="both"/>
              <w:rPr>
                <w:rFonts w:asciiTheme="minorHAnsi" w:hAnsiTheme="minorHAnsi"/>
                <w:sz w:val="22"/>
                <w:szCs w:val="22"/>
              </w:rPr>
            </w:pPr>
            <w:r w:rsidRPr="00202353">
              <w:rPr>
                <w:rFonts w:asciiTheme="minorHAnsi" w:hAnsiTheme="minorHAnsi"/>
                <w:sz w:val="22"/>
                <w:szCs w:val="22"/>
              </w:rPr>
              <w:t xml:space="preserve">Savoir que le solde budgétaire résulte de la différence entre les recettes (fiscales et non fiscales) et les dépenses de l’État ; comprendre que le déficit budgétaire est financé par l’emprunt et savoir qu’une politique de dépenses publiques peut avoir des effets contradictoires sur l’activité (relance de la demande / effet d’éviction). </w:t>
            </w:r>
          </w:p>
        </w:tc>
      </w:tr>
      <w:tr w:rsidR="00A138B6" w:rsidRPr="00202353" w:rsidTr="00DF3C83">
        <w:tc>
          <w:tcPr>
            <w:tcW w:w="2660" w:type="dxa"/>
          </w:tcPr>
          <w:p w:rsidR="00A138B6" w:rsidRPr="00202353" w:rsidRDefault="00A138B6" w:rsidP="00DF3C83">
            <w:pPr>
              <w:jc w:val="both"/>
              <w:rPr>
                <w:b/>
              </w:rPr>
            </w:pPr>
            <w:r w:rsidRPr="00202353">
              <w:rPr>
                <w:b/>
              </w:rPr>
              <w:t>Objectifs de la séquence (en termes de savoirs, savoir-faire et compétences transversales)</w:t>
            </w:r>
          </w:p>
        </w:tc>
        <w:tc>
          <w:tcPr>
            <w:tcW w:w="6552" w:type="dxa"/>
          </w:tcPr>
          <w:p w:rsidR="00A138B6" w:rsidRPr="00202353" w:rsidRDefault="00A138B6" w:rsidP="00DF3C83">
            <w:pPr>
              <w:pStyle w:val="Sansinterligne"/>
              <w:jc w:val="both"/>
              <w:rPr>
                <w:lang w:eastAsia="fr-FR"/>
              </w:rPr>
            </w:pPr>
            <w:r w:rsidRPr="009B2A44">
              <w:rPr>
                <w:b/>
              </w:rPr>
              <w:t>-</w:t>
            </w:r>
            <w:r w:rsidRPr="00202353">
              <w:t xml:space="preserve"> Savoir </w:t>
            </w:r>
            <w:r w:rsidRPr="00202353">
              <w:rPr>
                <w:lang w:eastAsia="fr-FR"/>
              </w:rPr>
              <w:t>expliquer comment un déficit public influe sur le taux d’intérêt réel, l’épargne et l’investissement sur le marché des fonds prêtables</w:t>
            </w:r>
            <w:r>
              <w:rPr>
                <w:lang w:eastAsia="fr-FR"/>
              </w:rPr>
              <w:t> ;</w:t>
            </w:r>
          </w:p>
          <w:p w:rsidR="00A138B6" w:rsidRDefault="00A138B6" w:rsidP="00DF3C83">
            <w:pPr>
              <w:pStyle w:val="Default"/>
              <w:jc w:val="both"/>
              <w:rPr>
                <w:rFonts w:asciiTheme="minorHAnsi" w:hAnsiTheme="minorHAnsi"/>
                <w:sz w:val="22"/>
                <w:szCs w:val="22"/>
              </w:rPr>
            </w:pPr>
            <w:r w:rsidRPr="00202353">
              <w:rPr>
                <w:rFonts w:asciiTheme="minorHAnsi" w:hAnsiTheme="minorHAnsi" w:cs="Times New Roman"/>
                <w:b/>
                <w:bCs/>
                <w:sz w:val="22"/>
                <w:szCs w:val="22"/>
              </w:rPr>
              <w:t xml:space="preserve">- </w:t>
            </w:r>
            <w:r>
              <w:rPr>
                <w:rFonts w:asciiTheme="minorHAnsi" w:hAnsiTheme="minorHAnsi"/>
                <w:sz w:val="22"/>
                <w:szCs w:val="22"/>
              </w:rPr>
              <w:t>Savoir distinguer</w:t>
            </w:r>
            <w:r w:rsidRPr="00202353">
              <w:rPr>
                <w:rFonts w:asciiTheme="minorHAnsi" w:hAnsiTheme="minorHAnsi"/>
                <w:sz w:val="22"/>
                <w:szCs w:val="22"/>
              </w:rPr>
              <w:t xml:space="preserve"> les notions de déficit budgétaire, dett</w:t>
            </w:r>
            <w:r>
              <w:rPr>
                <w:rFonts w:asciiTheme="minorHAnsi" w:hAnsiTheme="minorHAnsi"/>
                <w:sz w:val="22"/>
                <w:szCs w:val="22"/>
              </w:rPr>
              <w:t>e publique, dépenses publiques ;</w:t>
            </w:r>
          </w:p>
          <w:p w:rsidR="00A138B6" w:rsidRPr="00202353" w:rsidRDefault="00A138B6" w:rsidP="00DF3C83">
            <w:pPr>
              <w:pStyle w:val="Default"/>
              <w:jc w:val="both"/>
              <w:rPr>
                <w:rFonts w:asciiTheme="minorHAnsi" w:hAnsiTheme="minorHAnsi"/>
                <w:sz w:val="22"/>
                <w:szCs w:val="22"/>
              </w:rPr>
            </w:pPr>
            <w:r w:rsidRPr="009B2A44">
              <w:rPr>
                <w:rFonts w:asciiTheme="minorHAnsi" w:hAnsiTheme="minorHAnsi"/>
                <w:b/>
                <w:sz w:val="22"/>
                <w:szCs w:val="22"/>
              </w:rPr>
              <w:t>-</w:t>
            </w:r>
            <w:r>
              <w:rPr>
                <w:rFonts w:asciiTheme="minorHAnsi" w:hAnsiTheme="minorHAnsi"/>
                <w:sz w:val="22"/>
                <w:szCs w:val="22"/>
              </w:rPr>
              <w:t xml:space="preserve"> Savoir expliquer l’effet d’éviction.</w:t>
            </w:r>
          </w:p>
        </w:tc>
      </w:tr>
      <w:tr w:rsidR="00A138B6" w:rsidRPr="00202353" w:rsidTr="00DF3C83">
        <w:tc>
          <w:tcPr>
            <w:tcW w:w="2660" w:type="dxa"/>
          </w:tcPr>
          <w:p w:rsidR="00A138B6" w:rsidRPr="00202353" w:rsidRDefault="00A138B6" w:rsidP="00DF3C83">
            <w:pPr>
              <w:jc w:val="both"/>
              <w:rPr>
                <w:b/>
              </w:rPr>
            </w:pPr>
            <w:proofErr w:type="spellStart"/>
            <w:r w:rsidRPr="00202353">
              <w:rPr>
                <w:b/>
              </w:rPr>
              <w:t>Pré-requis</w:t>
            </w:r>
            <w:proofErr w:type="spellEnd"/>
          </w:p>
        </w:tc>
        <w:tc>
          <w:tcPr>
            <w:tcW w:w="6552" w:type="dxa"/>
          </w:tcPr>
          <w:p w:rsidR="00A138B6" w:rsidRDefault="00A138B6" w:rsidP="00DF3C83">
            <w:pPr>
              <w:jc w:val="both"/>
            </w:pPr>
            <w:r>
              <w:t xml:space="preserve">- </w:t>
            </w:r>
            <w:r w:rsidRPr="009B2A44">
              <w:t>Connaître les différentes composantes des administrations publiques</w:t>
            </w:r>
            <w:r>
              <w:t> ;</w:t>
            </w:r>
          </w:p>
          <w:p w:rsidR="00A138B6" w:rsidRDefault="00A138B6" w:rsidP="00DF3C83">
            <w:pPr>
              <w:jc w:val="both"/>
            </w:pPr>
            <w:r>
              <w:t>- Connaître les concepts de besoin et de capacité de financement ;</w:t>
            </w:r>
          </w:p>
          <w:p w:rsidR="00A138B6" w:rsidRPr="00202353" w:rsidRDefault="00A138B6" w:rsidP="00DF3C83">
            <w:pPr>
              <w:pStyle w:val="Default"/>
              <w:jc w:val="both"/>
              <w:rPr>
                <w:rFonts w:asciiTheme="minorHAnsi" w:hAnsiTheme="minorHAnsi"/>
                <w:sz w:val="22"/>
                <w:szCs w:val="22"/>
              </w:rPr>
            </w:pPr>
            <w:r>
              <w:rPr>
                <w:rFonts w:asciiTheme="minorHAnsi" w:hAnsiTheme="minorHAnsi"/>
                <w:sz w:val="22"/>
                <w:szCs w:val="22"/>
              </w:rPr>
              <w:t xml:space="preserve">- </w:t>
            </w:r>
            <w:r w:rsidRPr="00202353">
              <w:rPr>
                <w:rFonts w:asciiTheme="minorHAnsi" w:hAnsiTheme="minorHAnsi"/>
                <w:sz w:val="22"/>
                <w:szCs w:val="22"/>
              </w:rPr>
              <w:t>Savoir interpréter des courbes d’offre et de demande</w:t>
            </w:r>
            <w:r>
              <w:rPr>
                <w:rFonts w:asciiTheme="minorHAnsi" w:hAnsiTheme="minorHAnsi"/>
                <w:sz w:val="22"/>
                <w:szCs w:val="22"/>
              </w:rPr>
              <w:t xml:space="preserve">, </w:t>
            </w:r>
            <w:r w:rsidRPr="00202353">
              <w:rPr>
                <w:rFonts w:asciiTheme="minorHAnsi" w:hAnsiTheme="minorHAnsi"/>
                <w:sz w:val="22"/>
                <w:szCs w:val="22"/>
              </w:rPr>
              <w:t xml:space="preserve">et comprendre comment leur confrontation détermine l’équilibre sur un marché de type concurrentiel où les agents sont preneurs de prix. </w:t>
            </w:r>
          </w:p>
          <w:p w:rsidR="00A138B6" w:rsidRPr="009B2A44" w:rsidRDefault="00A138B6" w:rsidP="00DF3C83">
            <w:pPr>
              <w:pStyle w:val="Sansinterligne"/>
              <w:jc w:val="both"/>
            </w:pPr>
            <w:r w:rsidRPr="00202353">
              <w:rPr>
                <w:rFonts w:cs="Times New Roman"/>
                <w:b/>
                <w:bCs/>
              </w:rPr>
              <w:t xml:space="preserve">- </w:t>
            </w:r>
            <w:r w:rsidRPr="00202353">
              <w:t>Savoir illustrer et interpréter les déplacements des courbes et sur les courbes, par différents exemples chiffrés.</w:t>
            </w:r>
          </w:p>
        </w:tc>
      </w:tr>
      <w:tr w:rsidR="00A138B6" w:rsidRPr="00202353" w:rsidTr="00DF3C83">
        <w:tc>
          <w:tcPr>
            <w:tcW w:w="2660" w:type="dxa"/>
          </w:tcPr>
          <w:p w:rsidR="00A138B6" w:rsidRPr="00202353" w:rsidRDefault="00A138B6" w:rsidP="00DF3C83">
            <w:pPr>
              <w:jc w:val="both"/>
              <w:rPr>
                <w:b/>
              </w:rPr>
            </w:pPr>
            <w:r w:rsidRPr="00202353">
              <w:rPr>
                <w:b/>
              </w:rPr>
              <w:t>Conditions matérielles</w:t>
            </w:r>
          </w:p>
        </w:tc>
        <w:tc>
          <w:tcPr>
            <w:tcW w:w="6552" w:type="dxa"/>
          </w:tcPr>
          <w:p w:rsidR="00A138B6" w:rsidRPr="00202353" w:rsidRDefault="00A138B6" w:rsidP="00DF3C83">
            <w:pPr>
              <w:jc w:val="both"/>
              <w:rPr>
                <w:b/>
              </w:rPr>
            </w:pPr>
          </w:p>
        </w:tc>
      </w:tr>
      <w:tr w:rsidR="00A138B6" w:rsidRPr="00202353" w:rsidTr="00DF3C83">
        <w:tc>
          <w:tcPr>
            <w:tcW w:w="2660" w:type="dxa"/>
          </w:tcPr>
          <w:p w:rsidR="00A138B6" w:rsidRPr="00202353" w:rsidRDefault="00A138B6" w:rsidP="00DF3C83">
            <w:pPr>
              <w:jc w:val="both"/>
              <w:rPr>
                <w:b/>
              </w:rPr>
            </w:pPr>
            <w:r w:rsidRPr="00202353">
              <w:rPr>
                <w:b/>
              </w:rPr>
              <w:t>Durée indicative</w:t>
            </w:r>
          </w:p>
        </w:tc>
        <w:tc>
          <w:tcPr>
            <w:tcW w:w="6552" w:type="dxa"/>
          </w:tcPr>
          <w:p w:rsidR="00A138B6" w:rsidRPr="009B2A44" w:rsidRDefault="00A138B6" w:rsidP="00DF3C83">
            <w:pPr>
              <w:jc w:val="both"/>
            </w:pPr>
            <w:r w:rsidRPr="009B2A44">
              <w:t>3 heures</w:t>
            </w:r>
          </w:p>
        </w:tc>
      </w:tr>
    </w:tbl>
    <w:p w:rsidR="00A138B6" w:rsidRPr="00202353" w:rsidRDefault="00A138B6" w:rsidP="00A138B6">
      <w:pPr>
        <w:spacing w:after="0" w:line="240" w:lineRule="auto"/>
        <w:jc w:val="both"/>
        <w:rPr>
          <w:b/>
        </w:rPr>
      </w:pPr>
    </w:p>
    <w:p w:rsidR="00A138B6" w:rsidRPr="00202353" w:rsidRDefault="00A138B6" w:rsidP="00A138B6">
      <w:pPr>
        <w:pStyle w:val="Paragraphedeliste"/>
        <w:numPr>
          <w:ilvl w:val="0"/>
          <w:numId w:val="1"/>
        </w:numPr>
        <w:spacing w:after="0" w:line="240" w:lineRule="auto"/>
        <w:jc w:val="both"/>
        <w:rPr>
          <w:b/>
        </w:rPr>
      </w:pPr>
      <w:r w:rsidRPr="00202353">
        <w:rPr>
          <w:b/>
        </w:rPr>
        <w:t>La séquence</w:t>
      </w:r>
    </w:p>
    <w:p w:rsidR="00A138B6" w:rsidRPr="00202353" w:rsidRDefault="00A138B6" w:rsidP="00A138B6">
      <w:pPr>
        <w:spacing w:after="0" w:line="240" w:lineRule="auto"/>
        <w:jc w:val="both"/>
        <w:rPr>
          <w:b/>
        </w:rPr>
      </w:pPr>
    </w:p>
    <w:p w:rsidR="00A138B6" w:rsidRPr="00202353" w:rsidRDefault="00A138B6" w:rsidP="00A138B6">
      <w:pPr>
        <w:spacing w:after="0" w:line="240" w:lineRule="auto"/>
        <w:jc w:val="both"/>
        <w:rPr>
          <w:i/>
        </w:rPr>
      </w:pPr>
      <w:r w:rsidRPr="00202353">
        <w:rPr>
          <w:i/>
        </w:rPr>
        <w:t>Préciser le plan (en mentionnant clairement les liens avec le questionnement, les objectifs d’apprentissage et la consigne), les documents (avec source intégrale) et</w:t>
      </w:r>
      <w:r w:rsidR="00E37150">
        <w:rPr>
          <w:i/>
        </w:rPr>
        <w:t xml:space="preserve"> </w:t>
      </w:r>
      <w:r w:rsidRPr="00202353">
        <w:rPr>
          <w:i/>
        </w:rPr>
        <w:t>les objectifs de chaque activité. Les activités proposées pourront être variées (on peut faire autrement que doc/questions/réponses).</w:t>
      </w:r>
    </w:p>
    <w:p w:rsidR="00A138B6" w:rsidRPr="00202353" w:rsidRDefault="00A138B6" w:rsidP="00A138B6">
      <w:pPr>
        <w:spacing w:after="0" w:line="240" w:lineRule="auto"/>
        <w:jc w:val="both"/>
        <w:rPr>
          <w:i/>
        </w:rPr>
      </w:pPr>
    </w:p>
    <w:p w:rsidR="00A138B6" w:rsidRPr="00202353" w:rsidRDefault="00A138B6" w:rsidP="00A138B6">
      <w:pPr>
        <w:spacing w:after="0" w:line="240" w:lineRule="auto"/>
        <w:jc w:val="both"/>
        <w:rPr>
          <w:i/>
        </w:rPr>
      </w:pPr>
      <w:r w:rsidRPr="00202353">
        <w:rPr>
          <w:i/>
        </w:rPr>
        <w:t>La séquence doit systématiquement inclure l’évaluation en cours de formation.</w:t>
      </w: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Pr="00202353" w:rsidRDefault="00A138B6" w:rsidP="00A138B6">
      <w:pPr>
        <w:pStyle w:val="NormalWeb"/>
        <w:spacing w:after="0"/>
        <w:jc w:val="both"/>
        <w:rPr>
          <w:rFonts w:asciiTheme="minorHAnsi" w:hAnsiTheme="minorHAnsi" w:cs="Arial"/>
          <w:b/>
          <w:bCs/>
          <w:sz w:val="22"/>
          <w:szCs w:val="22"/>
        </w:rPr>
      </w:pPr>
    </w:p>
    <w:p w:rsidR="00A138B6" w:rsidRDefault="00E37150" w:rsidP="00E37150">
      <w:pPr>
        <w:pStyle w:val="Sansinterligne"/>
        <w:jc w:val="both"/>
      </w:pPr>
      <w:r>
        <w:lastRenderedPageBreak/>
        <w:t>1. Le besoin de</w:t>
      </w:r>
      <w:r w:rsidR="00A138B6" w:rsidRPr="00202353">
        <w:t xml:space="preserve"> financement des administrations publiques </w:t>
      </w:r>
    </w:p>
    <w:p w:rsidR="00E37150" w:rsidRDefault="00E37150" w:rsidP="00E37150">
      <w:pPr>
        <w:pStyle w:val="Sansinterligne"/>
        <w:jc w:val="both"/>
      </w:pPr>
    </w:p>
    <w:p w:rsidR="00A138B6" w:rsidRPr="00202353" w:rsidRDefault="00A138B6" w:rsidP="00A138B6">
      <w:pPr>
        <w:pStyle w:val="Sansinterligne"/>
        <w:jc w:val="both"/>
      </w:pPr>
      <w:r w:rsidRPr="00202353">
        <w:t xml:space="preserve">1.1. Principales dépenses et recettes des administrations publiques </w:t>
      </w:r>
    </w:p>
    <w:p w:rsidR="00A138B6" w:rsidRDefault="00A138B6" w:rsidP="00A138B6">
      <w:pPr>
        <w:pStyle w:val="Sansinterligne"/>
        <w:jc w:val="both"/>
      </w:pPr>
      <w:r>
        <w:t xml:space="preserve"> </w:t>
      </w:r>
    </w:p>
    <w:p w:rsidR="00A138B6" w:rsidRPr="002F4EE2" w:rsidRDefault="00A138B6" w:rsidP="00A138B6">
      <w:pPr>
        <w:pStyle w:val="Sansinterligne"/>
        <w:jc w:val="both"/>
        <w:rPr>
          <w:b/>
        </w:rPr>
      </w:pPr>
      <w:r w:rsidRPr="002F4EE2">
        <w:rPr>
          <w:b/>
        </w:rPr>
        <w:t>DOCUMENT 1. Dépenses et recettes des administrations publiques en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653"/>
        <w:gridCol w:w="1654"/>
        <w:gridCol w:w="1654"/>
        <w:gridCol w:w="1242"/>
      </w:tblGrid>
      <w:tr w:rsidR="00A138B6" w:rsidRPr="00202353" w:rsidTr="00DF3C83">
        <w:tc>
          <w:tcPr>
            <w:tcW w:w="3085" w:type="dxa"/>
            <w:shd w:val="clear" w:color="auto" w:fill="auto"/>
          </w:tcPr>
          <w:p w:rsidR="00A138B6" w:rsidRPr="00202353" w:rsidRDefault="00A138B6" w:rsidP="00DF3C83">
            <w:pPr>
              <w:pStyle w:val="Sansinterligne"/>
              <w:jc w:val="both"/>
              <w:rPr>
                <w:lang w:eastAsia="fr-FR"/>
              </w:rPr>
            </w:pPr>
          </w:p>
        </w:tc>
        <w:tc>
          <w:tcPr>
            <w:tcW w:w="1653" w:type="dxa"/>
            <w:shd w:val="clear" w:color="auto" w:fill="auto"/>
            <w:vAlign w:val="center"/>
          </w:tcPr>
          <w:p w:rsidR="00A138B6" w:rsidRPr="00202353" w:rsidRDefault="00A138B6" w:rsidP="00DF3C83">
            <w:pPr>
              <w:pStyle w:val="Sansinterligne"/>
              <w:jc w:val="both"/>
              <w:rPr>
                <w:lang w:eastAsia="fr-FR"/>
              </w:rPr>
            </w:pPr>
            <w:r w:rsidRPr="00202353">
              <w:rPr>
                <w:lang w:eastAsia="fr-FR"/>
              </w:rPr>
              <w:t>Administrations publiques centrales</w:t>
            </w:r>
          </w:p>
        </w:tc>
        <w:tc>
          <w:tcPr>
            <w:tcW w:w="1654" w:type="dxa"/>
            <w:shd w:val="clear" w:color="auto" w:fill="auto"/>
            <w:vAlign w:val="center"/>
          </w:tcPr>
          <w:p w:rsidR="00A138B6" w:rsidRPr="00202353" w:rsidRDefault="00A138B6" w:rsidP="00DF3C83">
            <w:pPr>
              <w:pStyle w:val="Sansinterligne"/>
              <w:jc w:val="both"/>
              <w:rPr>
                <w:lang w:eastAsia="fr-FR"/>
              </w:rPr>
            </w:pPr>
            <w:r w:rsidRPr="00202353">
              <w:rPr>
                <w:lang w:eastAsia="fr-FR"/>
              </w:rPr>
              <w:t>Administrations publiques locales</w:t>
            </w:r>
          </w:p>
        </w:tc>
        <w:tc>
          <w:tcPr>
            <w:tcW w:w="1654" w:type="dxa"/>
            <w:shd w:val="clear" w:color="auto" w:fill="auto"/>
            <w:vAlign w:val="center"/>
          </w:tcPr>
          <w:p w:rsidR="00A138B6" w:rsidRPr="00202353" w:rsidRDefault="00A138B6" w:rsidP="00DF3C83">
            <w:pPr>
              <w:pStyle w:val="Sansinterligne"/>
              <w:jc w:val="both"/>
              <w:rPr>
                <w:lang w:eastAsia="fr-FR"/>
              </w:rPr>
            </w:pPr>
            <w:r w:rsidRPr="00202353">
              <w:rPr>
                <w:lang w:eastAsia="fr-FR"/>
              </w:rPr>
              <w:t>Administrations de sécurité sociale</w:t>
            </w:r>
          </w:p>
        </w:tc>
        <w:tc>
          <w:tcPr>
            <w:tcW w:w="1242" w:type="dxa"/>
            <w:shd w:val="clear" w:color="auto" w:fill="auto"/>
            <w:vAlign w:val="center"/>
          </w:tcPr>
          <w:p w:rsidR="00A138B6" w:rsidRPr="00202353" w:rsidRDefault="00A138B6" w:rsidP="00DF3C83">
            <w:pPr>
              <w:pStyle w:val="Sansinterligne"/>
              <w:jc w:val="both"/>
              <w:rPr>
                <w:lang w:eastAsia="fr-FR"/>
              </w:rPr>
            </w:pPr>
            <w:r w:rsidRPr="00202353">
              <w:rPr>
                <w:lang w:eastAsia="fr-FR"/>
              </w:rPr>
              <w:t>Ensemble*</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b/>
                <w:lang w:eastAsia="fr-FR"/>
              </w:rPr>
            </w:pPr>
            <w:r w:rsidRPr="00202353">
              <w:rPr>
                <w:rFonts w:cs="Arial"/>
                <w:b/>
                <w:lang w:eastAsia="fr-FR"/>
              </w:rPr>
              <w:t>Total des dépenses*</w:t>
            </w:r>
          </w:p>
        </w:tc>
        <w:tc>
          <w:tcPr>
            <w:tcW w:w="1653" w:type="dxa"/>
            <w:shd w:val="clear" w:color="auto" w:fill="auto"/>
            <w:vAlign w:val="center"/>
          </w:tcPr>
          <w:p w:rsidR="00A138B6" w:rsidRPr="00202353" w:rsidRDefault="00A138B6" w:rsidP="00DF3C83">
            <w:pPr>
              <w:pStyle w:val="Sansinterligne"/>
              <w:jc w:val="center"/>
              <w:rPr>
                <w:rFonts w:cs="Arial"/>
                <w:b/>
                <w:lang w:eastAsia="fr-FR"/>
              </w:rPr>
            </w:pPr>
            <w:r w:rsidRPr="00202353">
              <w:rPr>
                <w:rFonts w:cs="Arial"/>
                <w:b/>
                <w:lang w:eastAsia="fr-FR"/>
              </w:rPr>
              <w:t>538,2</w:t>
            </w:r>
          </w:p>
        </w:tc>
        <w:tc>
          <w:tcPr>
            <w:tcW w:w="1654" w:type="dxa"/>
            <w:shd w:val="clear" w:color="auto" w:fill="auto"/>
            <w:vAlign w:val="center"/>
          </w:tcPr>
          <w:p w:rsidR="00A138B6" w:rsidRPr="00202353" w:rsidRDefault="00A138B6" w:rsidP="00DF3C83">
            <w:pPr>
              <w:pStyle w:val="Sansinterligne"/>
              <w:jc w:val="center"/>
              <w:rPr>
                <w:rFonts w:cs="Arial"/>
                <w:b/>
                <w:lang w:eastAsia="fr-FR"/>
              </w:rPr>
            </w:pPr>
            <w:r w:rsidRPr="00202353">
              <w:rPr>
                <w:rFonts w:cs="Arial"/>
                <w:b/>
                <w:lang w:eastAsia="fr-FR"/>
              </w:rPr>
              <w:t>260,4</w:t>
            </w:r>
          </w:p>
        </w:tc>
        <w:tc>
          <w:tcPr>
            <w:tcW w:w="1654" w:type="dxa"/>
            <w:shd w:val="clear" w:color="auto" w:fill="auto"/>
            <w:vAlign w:val="center"/>
          </w:tcPr>
          <w:p w:rsidR="00A138B6" w:rsidRPr="00202353" w:rsidRDefault="00A138B6" w:rsidP="00DF3C83">
            <w:pPr>
              <w:pStyle w:val="Sansinterligne"/>
              <w:jc w:val="center"/>
              <w:rPr>
                <w:rFonts w:cs="Arial"/>
                <w:b/>
                <w:lang w:eastAsia="fr-FR"/>
              </w:rPr>
            </w:pPr>
            <w:r w:rsidRPr="00202353">
              <w:rPr>
                <w:rFonts w:cs="Arial"/>
                <w:b/>
                <w:lang w:eastAsia="fr-FR"/>
              </w:rPr>
              <w:t>607,9</w:t>
            </w:r>
          </w:p>
        </w:tc>
        <w:tc>
          <w:tcPr>
            <w:tcW w:w="1242" w:type="dxa"/>
            <w:shd w:val="clear" w:color="auto" w:fill="auto"/>
            <w:vAlign w:val="center"/>
          </w:tcPr>
          <w:p w:rsidR="00A138B6" w:rsidRPr="00202353" w:rsidRDefault="00A138B6" w:rsidP="00DF3C83">
            <w:pPr>
              <w:pStyle w:val="Sansinterligne"/>
              <w:jc w:val="center"/>
              <w:rPr>
                <w:rFonts w:cs="Arial"/>
                <w:b/>
                <w:lang w:eastAsia="fr-FR"/>
              </w:rPr>
            </w:pPr>
            <w:r w:rsidRPr="00202353">
              <w:rPr>
                <w:rFonts w:cs="Arial"/>
                <w:b/>
                <w:lang w:eastAsia="fr-FR"/>
              </w:rPr>
              <w:t>1 318,6</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 xml:space="preserve">Dépenses de fonctionnement </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182,5</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134,4</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101,0</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417,9</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Intérêts versés2</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35,1</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4,6</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44,2</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Prestations sociales en espèces et en nature</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107,4</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26,6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466,3</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600,4</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Transferts courants entre administrations publiques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60,6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3,6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12,9</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0,0</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Autres transferts et subventions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125,0</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42,7</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17,1</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174,1</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Acquisitions nettes d'actifs non financiers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27,5</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48,5</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6,1</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82,1</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b/>
                <w:bCs/>
                <w:lang w:eastAsia="fr-FR"/>
              </w:rPr>
              <w:t>Total des recettes*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b/>
                <w:bCs/>
                <w:lang w:eastAsia="fr-FR"/>
              </w:rPr>
              <w:t>465,6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b/>
                <w:bCs/>
                <w:lang w:eastAsia="fr-FR"/>
              </w:rPr>
              <w:t>262,7</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b/>
                <w:bCs/>
                <w:lang w:eastAsia="fr-FR"/>
              </w:rPr>
              <w:t>618,7</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b/>
                <w:bCs/>
                <w:lang w:eastAsia="fr-FR"/>
              </w:rPr>
              <w:t>1 259,1</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Impôts et cotisations sociales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412,0</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151,7</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569,7</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1 133,3</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Recettes de production</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26,2</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44,6</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20,8</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91,5</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Revenus de la propriété</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8,4</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3,0</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3,7</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15,0</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lang w:eastAsia="fr-FR"/>
              </w:rPr>
              <w:t>Autres transferts</w:t>
            </w:r>
          </w:p>
        </w:tc>
        <w:tc>
          <w:tcPr>
            <w:tcW w:w="1653"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19,1</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63,4</w:t>
            </w:r>
          </w:p>
        </w:tc>
        <w:tc>
          <w:tcPr>
            <w:tcW w:w="1654"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24,5</w:t>
            </w:r>
          </w:p>
        </w:tc>
        <w:tc>
          <w:tcPr>
            <w:tcW w:w="1242" w:type="dxa"/>
            <w:shd w:val="clear" w:color="auto" w:fill="auto"/>
            <w:vAlign w:val="center"/>
          </w:tcPr>
          <w:p w:rsidR="00A138B6" w:rsidRPr="00202353" w:rsidRDefault="00A138B6" w:rsidP="00DF3C83">
            <w:pPr>
              <w:pStyle w:val="Sansinterligne"/>
              <w:jc w:val="center"/>
              <w:rPr>
                <w:rFonts w:cs="Arial"/>
                <w:lang w:eastAsia="fr-FR"/>
              </w:rPr>
            </w:pPr>
            <w:r w:rsidRPr="00202353">
              <w:rPr>
                <w:rFonts w:cs="Arial"/>
                <w:lang w:eastAsia="fr-FR"/>
              </w:rPr>
              <w:t>19,3</w:t>
            </w:r>
          </w:p>
        </w:tc>
      </w:tr>
      <w:tr w:rsidR="00A138B6" w:rsidRPr="00202353" w:rsidTr="00DF3C83">
        <w:tc>
          <w:tcPr>
            <w:tcW w:w="3085" w:type="dxa"/>
            <w:shd w:val="clear" w:color="auto" w:fill="auto"/>
          </w:tcPr>
          <w:p w:rsidR="00A138B6" w:rsidRPr="00202353" w:rsidRDefault="00A138B6" w:rsidP="00DF3C83">
            <w:pPr>
              <w:pStyle w:val="Sansinterligne"/>
              <w:jc w:val="both"/>
              <w:rPr>
                <w:rFonts w:cs="Arial"/>
                <w:lang w:eastAsia="fr-FR"/>
              </w:rPr>
            </w:pPr>
            <w:r w:rsidRPr="00202353">
              <w:rPr>
                <w:rFonts w:cs="Arial"/>
                <w:b/>
                <w:bCs/>
                <w:lang w:eastAsia="fr-FR"/>
              </w:rPr>
              <w:t>Capacité (+) / Besoin (-) de financement</w:t>
            </w:r>
          </w:p>
        </w:tc>
        <w:tc>
          <w:tcPr>
            <w:tcW w:w="1653" w:type="dxa"/>
            <w:shd w:val="clear" w:color="auto" w:fill="auto"/>
            <w:vAlign w:val="center"/>
          </w:tcPr>
          <w:p w:rsidR="00A138B6" w:rsidRPr="00202353" w:rsidRDefault="00A138B6" w:rsidP="00DF3C83">
            <w:pPr>
              <w:pStyle w:val="Sansinterligne"/>
              <w:jc w:val="both"/>
              <w:rPr>
                <w:rFonts w:cs="Arial"/>
                <w:color w:val="FFFFFF" w:themeColor="background1"/>
                <w:lang w:eastAsia="fr-FR"/>
              </w:rPr>
            </w:pPr>
            <w:r w:rsidRPr="00202353">
              <w:rPr>
                <w:rFonts w:cs="Arial"/>
                <w:b/>
                <w:bCs/>
                <w:color w:val="FFFFFF" w:themeColor="background1"/>
                <w:lang w:eastAsia="fr-FR"/>
              </w:rPr>
              <w:t>-72,6</w:t>
            </w:r>
          </w:p>
        </w:tc>
        <w:tc>
          <w:tcPr>
            <w:tcW w:w="1654" w:type="dxa"/>
            <w:shd w:val="clear" w:color="auto" w:fill="auto"/>
            <w:vAlign w:val="center"/>
          </w:tcPr>
          <w:p w:rsidR="00A138B6" w:rsidRPr="00202353" w:rsidRDefault="00A138B6" w:rsidP="00DF3C83">
            <w:pPr>
              <w:pStyle w:val="Sansinterligne"/>
              <w:jc w:val="both"/>
              <w:rPr>
                <w:rFonts w:cs="Arial"/>
                <w:color w:val="FFFFFF" w:themeColor="background1"/>
                <w:lang w:eastAsia="fr-FR"/>
              </w:rPr>
            </w:pPr>
            <w:r w:rsidRPr="00202353">
              <w:rPr>
                <w:rFonts w:cs="Arial"/>
                <w:b/>
                <w:bCs/>
                <w:color w:val="FFFFFF" w:themeColor="background1"/>
                <w:lang w:eastAsia="fr-FR"/>
              </w:rPr>
              <w:t>2,3</w:t>
            </w:r>
          </w:p>
        </w:tc>
        <w:tc>
          <w:tcPr>
            <w:tcW w:w="1654" w:type="dxa"/>
            <w:shd w:val="clear" w:color="auto" w:fill="auto"/>
            <w:vAlign w:val="center"/>
          </w:tcPr>
          <w:p w:rsidR="00A138B6" w:rsidRPr="00202353" w:rsidRDefault="00A138B6" w:rsidP="00DF3C83">
            <w:pPr>
              <w:pStyle w:val="Sansinterligne"/>
              <w:jc w:val="both"/>
              <w:rPr>
                <w:rFonts w:cs="Arial"/>
                <w:color w:val="FFFFFF" w:themeColor="background1"/>
                <w:lang w:eastAsia="fr-FR"/>
              </w:rPr>
            </w:pPr>
            <w:r w:rsidRPr="00202353">
              <w:rPr>
                <w:rFonts w:cs="Arial"/>
                <w:b/>
                <w:bCs/>
                <w:color w:val="FFFFFF" w:themeColor="background1"/>
                <w:lang w:eastAsia="fr-FR"/>
              </w:rPr>
              <w:t>10,8</w:t>
            </w:r>
          </w:p>
        </w:tc>
        <w:tc>
          <w:tcPr>
            <w:tcW w:w="1242" w:type="dxa"/>
            <w:shd w:val="clear" w:color="auto" w:fill="auto"/>
            <w:vAlign w:val="center"/>
          </w:tcPr>
          <w:p w:rsidR="00A138B6" w:rsidRPr="00202353" w:rsidRDefault="00A138B6" w:rsidP="00DF3C83">
            <w:pPr>
              <w:pStyle w:val="Sansinterligne"/>
              <w:jc w:val="both"/>
              <w:rPr>
                <w:rFonts w:cs="Arial"/>
                <w:color w:val="FFFFFF" w:themeColor="background1"/>
                <w:lang w:eastAsia="fr-FR"/>
              </w:rPr>
            </w:pPr>
            <w:r w:rsidRPr="00202353">
              <w:rPr>
                <w:rFonts w:cs="Arial"/>
                <w:b/>
                <w:bCs/>
                <w:color w:val="FFFFFF" w:themeColor="background1"/>
                <w:lang w:eastAsia="fr-FR"/>
              </w:rPr>
              <w:t>-59,5</w:t>
            </w:r>
          </w:p>
        </w:tc>
      </w:tr>
    </w:tbl>
    <w:p w:rsidR="00A138B6" w:rsidRPr="00202353" w:rsidRDefault="00A138B6" w:rsidP="00A138B6">
      <w:pPr>
        <w:pStyle w:val="Paragraphedeliste"/>
        <w:numPr>
          <w:ilvl w:val="0"/>
          <w:numId w:val="10"/>
        </w:numPr>
        <w:spacing w:before="100" w:beforeAutospacing="1"/>
        <w:jc w:val="both"/>
        <w:rPr>
          <w:rFonts w:eastAsia="Times New Roman" w:cs="Arial"/>
          <w:lang w:eastAsia="fr-FR"/>
        </w:rPr>
      </w:pPr>
      <w:r w:rsidRPr="00202353">
        <w:rPr>
          <w:rFonts w:eastAsia="Times New Roman" w:cs="Arial"/>
          <w:lang w:eastAsia="fr-FR"/>
        </w:rPr>
        <w:t xml:space="preserve">Les transferts entre les trois sous-secteurs (administrations centrales, locales et de sécurité sociale) étant consolidés, les dépenses et recettes de l'ensemble des administrations publiques sont inférieures à la somme des dépenses et recettes des trois sous-secteurs. </w:t>
      </w:r>
    </w:p>
    <w:p w:rsidR="00A138B6" w:rsidRPr="00202353" w:rsidRDefault="00A138B6" w:rsidP="00A138B6">
      <w:pPr>
        <w:spacing w:before="100" w:beforeAutospacing="1"/>
        <w:jc w:val="right"/>
        <w:rPr>
          <w:rFonts w:eastAsia="Times New Roman" w:cs="Arial"/>
          <w:lang w:eastAsia="fr-FR"/>
        </w:rPr>
      </w:pPr>
      <w:r w:rsidRPr="00202353">
        <w:rPr>
          <w:rFonts w:eastAsia="Times New Roman" w:cs="Arial"/>
          <w:lang w:eastAsia="fr-FR"/>
        </w:rPr>
        <w:t>Source : comptes nationaux, base 2014, in Insee Première N°1753, mai 2019</w:t>
      </w:r>
    </w:p>
    <w:p w:rsidR="00A138B6" w:rsidRPr="002F4EE2" w:rsidRDefault="00E37150" w:rsidP="00A138B6">
      <w:pPr>
        <w:spacing w:after="0" w:line="240" w:lineRule="auto"/>
        <w:jc w:val="both"/>
        <w:rPr>
          <w:b/>
        </w:rPr>
      </w:pPr>
      <w:r>
        <w:rPr>
          <w:b/>
        </w:rPr>
        <w:t>QUESTIONS 1.</w:t>
      </w:r>
    </w:p>
    <w:p w:rsidR="00A138B6" w:rsidRPr="00202353" w:rsidRDefault="00A138B6" w:rsidP="00A138B6">
      <w:pPr>
        <w:pStyle w:val="Sansinterligne"/>
        <w:numPr>
          <w:ilvl w:val="0"/>
          <w:numId w:val="7"/>
        </w:numPr>
        <w:jc w:val="both"/>
        <w:rPr>
          <w:rFonts w:eastAsia="OpenSans" w:cs="OpenSans"/>
          <w:color w:val="000003"/>
        </w:rPr>
      </w:pPr>
      <w:r w:rsidRPr="00202353">
        <w:rPr>
          <w:rFonts w:eastAsia="OpenSans" w:cs="OpenSans"/>
          <w:color w:val="000003"/>
        </w:rPr>
        <w:t xml:space="preserve">A l’aide du document déterminez si les </w:t>
      </w:r>
      <w:r w:rsidRPr="00202353">
        <w:rPr>
          <w:rFonts w:eastAsia="OpenSans" w:cs="OpenSans"/>
          <w:b/>
          <w:color w:val="000003"/>
        </w:rPr>
        <w:t>A</w:t>
      </w:r>
      <w:r w:rsidRPr="00202353">
        <w:rPr>
          <w:rFonts w:eastAsia="OpenSans" w:cs="OpenSans"/>
          <w:color w:val="000003"/>
        </w:rPr>
        <w:t xml:space="preserve">dministration </w:t>
      </w:r>
      <w:r w:rsidRPr="00202353">
        <w:rPr>
          <w:rFonts w:eastAsia="OpenSans" w:cs="OpenSans"/>
          <w:b/>
          <w:color w:val="000003"/>
        </w:rPr>
        <w:t>Pu</w:t>
      </w:r>
      <w:r w:rsidRPr="00202353">
        <w:rPr>
          <w:rFonts w:eastAsia="OpenSans" w:cs="OpenSans"/>
          <w:color w:val="000003"/>
        </w:rPr>
        <w:t>bliques (</w:t>
      </w:r>
      <w:proofErr w:type="spellStart"/>
      <w:r w:rsidRPr="00202353">
        <w:rPr>
          <w:rFonts w:eastAsia="OpenSans" w:cs="OpenSans"/>
          <w:color w:val="000003"/>
        </w:rPr>
        <w:t>APu</w:t>
      </w:r>
      <w:proofErr w:type="spellEnd"/>
      <w:r w:rsidRPr="00202353">
        <w:rPr>
          <w:rFonts w:eastAsia="OpenSans" w:cs="OpenSans"/>
          <w:color w:val="000003"/>
        </w:rPr>
        <w:t xml:space="preserve">) sont en besoin de financement ou en capacité de financement. Justifiez à l’aide d’un calcul approprié. </w:t>
      </w:r>
    </w:p>
    <w:p w:rsidR="00A138B6" w:rsidRPr="00202353" w:rsidRDefault="00A138B6" w:rsidP="00A138B6">
      <w:pPr>
        <w:pStyle w:val="Sansinterligne"/>
        <w:numPr>
          <w:ilvl w:val="0"/>
          <w:numId w:val="7"/>
        </w:numPr>
        <w:jc w:val="both"/>
        <w:rPr>
          <w:rFonts w:eastAsia="OpenSans" w:cs="OpenSans"/>
          <w:color w:val="000003"/>
        </w:rPr>
      </w:pPr>
      <w:r w:rsidRPr="00202353">
        <w:rPr>
          <w:rFonts w:eastAsia="OpenSans" w:cs="OpenSans"/>
          <w:color w:val="000003"/>
        </w:rPr>
        <w:t>D’où viennent les déficits et la dette publique ?</w:t>
      </w:r>
    </w:p>
    <w:p w:rsidR="00A138B6" w:rsidRPr="00202353" w:rsidRDefault="00A138B6" w:rsidP="00A138B6">
      <w:pPr>
        <w:spacing w:after="0" w:line="240" w:lineRule="auto"/>
        <w:jc w:val="both"/>
        <w:rPr>
          <w:i/>
        </w:rPr>
      </w:pPr>
    </w:p>
    <w:p w:rsidR="00A138B6" w:rsidRPr="00202353" w:rsidRDefault="00A138B6" w:rsidP="00A138B6">
      <w:pPr>
        <w:spacing w:after="0" w:line="240" w:lineRule="auto"/>
        <w:jc w:val="both"/>
        <w:rPr>
          <w:i/>
        </w:rPr>
      </w:pPr>
    </w:p>
    <w:p w:rsidR="00A138B6" w:rsidRPr="00202353" w:rsidRDefault="00A138B6" w:rsidP="00A138B6">
      <w:pPr>
        <w:spacing w:after="0" w:line="240" w:lineRule="auto"/>
        <w:jc w:val="both"/>
        <w:rPr>
          <w:i/>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Default="00A138B6" w:rsidP="00A138B6">
      <w:pPr>
        <w:spacing w:after="0" w:line="240" w:lineRule="auto"/>
        <w:jc w:val="both"/>
        <w:rPr>
          <w:rFonts w:eastAsia="Times New Roman" w:cs="Times New Roman"/>
          <w:b/>
          <w:bCs/>
          <w:lang w:eastAsia="fr-FR"/>
        </w:rPr>
      </w:pPr>
    </w:p>
    <w:p w:rsidR="00A138B6" w:rsidRPr="00202353" w:rsidRDefault="00A138B6" w:rsidP="00A138B6">
      <w:pPr>
        <w:spacing w:after="0" w:line="240" w:lineRule="auto"/>
        <w:jc w:val="both"/>
        <w:rPr>
          <w:i/>
        </w:rPr>
      </w:pPr>
      <w:r w:rsidRPr="00202353">
        <w:rPr>
          <w:rFonts w:eastAsia="Times New Roman" w:cs="Times New Roman"/>
          <w:b/>
          <w:bCs/>
          <w:lang w:eastAsia="fr-FR"/>
        </w:rPr>
        <w:lastRenderedPageBreak/>
        <w:t>DOCUMENT 2. Dépenses et recettes publiques entre 1993 et 2018</w:t>
      </w:r>
    </w:p>
    <w:p w:rsidR="00A138B6" w:rsidRPr="00202353" w:rsidRDefault="00A138B6" w:rsidP="00A138B6">
      <w:pPr>
        <w:pStyle w:val="Sansinterligne"/>
        <w:jc w:val="right"/>
        <w:rPr>
          <w:rFonts w:eastAsia="OpenSans" w:cs="OpenSans"/>
          <w:color w:val="000003"/>
        </w:rPr>
      </w:pPr>
      <w:r w:rsidRPr="00202353">
        <w:rPr>
          <w:rFonts w:eastAsia="OpenSans" w:cs="OpenSans"/>
          <w:noProof/>
          <w:color w:val="000003"/>
          <w:lang w:eastAsia="fr-FR"/>
        </w:rPr>
        <w:drawing>
          <wp:inline distT="0" distB="0" distL="0" distR="0" wp14:anchorId="12F847F7" wp14:editId="59ED9649">
            <wp:extent cx="5969000" cy="47402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0" cy="4740275"/>
                    </a:xfrm>
                    <a:prstGeom prst="rect">
                      <a:avLst/>
                    </a:prstGeom>
                    <a:noFill/>
                    <a:ln>
                      <a:noFill/>
                    </a:ln>
                  </pic:spPr>
                </pic:pic>
              </a:graphicData>
            </a:graphic>
          </wp:inline>
        </w:drawing>
      </w:r>
      <w:r w:rsidRPr="00202353">
        <w:rPr>
          <w:lang w:eastAsia="fr-FR"/>
        </w:rPr>
        <w:t>Source : Inse</w:t>
      </w:r>
      <w:r>
        <w:rPr>
          <w:lang w:eastAsia="fr-FR"/>
        </w:rPr>
        <w:t>e, comptes nationaux, base 2014,</w:t>
      </w:r>
      <w:r w:rsidRPr="00202353">
        <w:rPr>
          <w:lang w:eastAsia="fr-FR"/>
        </w:rPr>
        <w:t xml:space="preserve"> </w:t>
      </w:r>
      <w:r w:rsidRPr="00202353">
        <w:rPr>
          <w:rFonts w:cs="Arial"/>
          <w:lang w:eastAsia="fr-FR"/>
        </w:rPr>
        <w:t>in Insee Première N°1753, mai 2019</w:t>
      </w:r>
    </w:p>
    <w:p w:rsidR="00A138B6" w:rsidRPr="00202353" w:rsidRDefault="00A138B6" w:rsidP="00A138B6">
      <w:pPr>
        <w:pStyle w:val="Sansinterligne"/>
        <w:jc w:val="both"/>
        <w:rPr>
          <w:rFonts w:eastAsia="OpenSans" w:cs="OpenSans"/>
          <w:color w:val="000003"/>
        </w:rPr>
      </w:pPr>
      <w:proofErr w:type="gramStart"/>
      <w:r>
        <w:rPr>
          <w:rFonts w:eastAsia="OpenSans" w:cs="OpenSans"/>
          <w:color w:val="000003"/>
        </w:rPr>
        <w:t>Notes</w:t>
      </w:r>
      <w:proofErr w:type="gramEnd"/>
      <w:r w:rsidRPr="00202353">
        <w:rPr>
          <w:rFonts w:eastAsia="OpenSans" w:cs="OpenSans"/>
          <w:color w:val="000003"/>
        </w:rPr>
        <w:t xml:space="preserve"> : </w:t>
      </w:r>
    </w:p>
    <w:p w:rsidR="00A138B6" w:rsidRPr="00202353" w:rsidRDefault="00A138B6" w:rsidP="00A138B6">
      <w:pPr>
        <w:pStyle w:val="Sansinterligne"/>
        <w:numPr>
          <w:ilvl w:val="0"/>
          <w:numId w:val="19"/>
        </w:numPr>
        <w:jc w:val="both"/>
        <w:rPr>
          <w:rFonts w:eastAsia="OpenSans" w:cs="OpenSans"/>
          <w:color w:val="000003"/>
        </w:rPr>
      </w:pPr>
      <w:r w:rsidRPr="00202353">
        <w:t>Lorsqu’on analyse les finances publiques, on raisonne généralement en points de PIB: un point de PIB équivaut à 1 % du PIB</w:t>
      </w:r>
    </w:p>
    <w:p w:rsidR="00A138B6" w:rsidRPr="00202353" w:rsidRDefault="00A138B6" w:rsidP="00A138B6">
      <w:pPr>
        <w:pStyle w:val="Sansinterligne"/>
        <w:numPr>
          <w:ilvl w:val="0"/>
          <w:numId w:val="19"/>
        </w:numPr>
        <w:jc w:val="both"/>
        <w:rPr>
          <w:rFonts w:eastAsia="OpenSans" w:cs="OpenSans"/>
          <w:color w:val="000003"/>
        </w:rPr>
      </w:pPr>
      <w:r w:rsidRPr="00202353">
        <w:t>L’échelle de droite concerne le déficit public et l’échelle de gauche les dépenses et recettes publiques</w:t>
      </w:r>
    </w:p>
    <w:p w:rsidR="00A138B6" w:rsidRPr="00202353" w:rsidRDefault="00A138B6" w:rsidP="00A138B6">
      <w:pPr>
        <w:spacing w:after="0" w:line="240" w:lineRule="auto"/>
        <w:jc w:val="both"/>
        <w:rPr>
          <w:i/>
        </w:rPr>
      </w:pPr>
    </w:p>
    <w:p w:rsidR="00A138B6" w:rsidRPr="002F4EE2" w:rsidRDefault="00A138B6" w:rsidP="00A138B6">
      <w:pPr>
        <w:pStyle w:val="Sansinterligne"/>
        <w:jc w:val="both"/>
        <w:rPr>
          <w:b/>
        </w:rPr>
      </w:pPr>
      <w:r>
        <w:rPr>
          <w:b/>
        </w:rPr>
        <w:t>QUESTIONS 2</w:t>
      </w:r>
      <w:r w:rsidR="00E37150">
        <w:rPr>
          <w:b/>
        </w:rPr>
        <w:t>.</w:t>
      </w:r>
      <w:bookmarkStart w:id="0" w:name="_GoBack"/>
      <w:bookmarkEnd w:id="0"/>
    </w:p>
    <w:p w:rsidR="00A138B6" w:rsidRDefault="00A138B6" w:rsidP="00A138B6">
      <w:pPr>
        <w:widowControl w:val="0"/>
        <w:numPr>
          <w:ilvl w:val="0"/>
          <w:numId w:val="3"/>
        </w:numPr>
        <w:suppressAutoHyphens/>
        <w:autoSpaceDE w:val="0"/>
        <w:spacing w:after="0" w:line="240" w:lineRule="auto"/>
        <w:jc w:val="both"/>
        <w:rPr>
          <w:rFonts w:eastAsia="OpenSans" w:cs="OpenSans"/>
          <w:color w:val="000003"/>
        </w:rPr>
      </w:pPr>
      <w:r w:rsidRPr="00202353">
        <w:rPr>
          <w:rFonts w:eastAsia="OpenSans" w:cs="OpenSans"/>
          <w:color w:val="000003"/>
        </w:rPr>
        <w:t xml:space="preserve">Faites une phrase qui permet de comprendre la signification des données de l’année 2018 </w:t>
      </w:r>
    </w:p>
    <w:p w:rsidR="00A138B6" w:rsidRPr="002F4EE2" w:rsidRDefault="00A138B6" w:rsidP="00A138B6">
      <w:pPr>
        <w:widowControl w:val="0"/>
        <w:numPr>
          <w:ilvl w:val="0"/>
          <w:numId w:val="3"/>
        </w:numPr>
        <w:suppressAutoHyphens/>
        <w:autoSpaceDE w:val="0"/>
        <w:spacing w:after="0" w:line="240" w:lineRule="auto"/>
        <w:jc w:val="both"/>
        <w:rPr>
          <w:rStyle w:val="Accentuation"/>
          <w:rFonts w:eastAsia="OpenSans" w:cs="OpenSans"/>
          <w:i w:val="0"/>
          <w:iCs w:val="0"/>
          <w:color w:val="000003"/>
        </w:rPr>
      </w:pPr>
      <w:r w:rsidRPr="00976D72">
        <w:rPr>
          <w:rFonts w:eastAsia="OpenSans" w:cs="OpenSans"/>
          <w:color w:val="000003"/>
        </w:rPr>
        <w:t xml:space="preserve">A combien s’élevait le déficit en 2018 (indiquez deux manières de l’évaluer à partir du graphique). Le PIB en 2018 était de </w:t>
      </w:r>
      <w:r w:rsidRPr="00202353">
        <w:t>2285,9 milliards d’euros constants (</w:t>
      </w:r>
      <w:r w:rsidRPr="00202353">
        <w:rPr>
          <w:rStyle w:val="Accentuation"/>
        </w:rPr>
        <w:t>source : Insee – Comptes nationaux, base 2014)</w:t>
      </w:r>
    </w:p>
    <w:p w:rsidR="00A138B6" w:rsidRPr="00976D72" w:rsidRDefault="00A138B6" w:rsidP="00A138B6">
      <w:pPr>
        <w:widowControl w:val="0"/>
        <w:numPr>
          <w:ilvl w:val="0"/>
          <w:numId w:val="3"/>
        </w:numPr>
        <w:suppressAutoHyphens/>
        <w:autoSpaceDE w:val="0"/>
        <w:spacing w:after="0" w:line="240" w:lineRule="auto"/>
        <w:jc w:val="both"/>
        <w:rPr>
          <w:rFonts w:eastAsia="OpenSans" w:cs="OpenSans"/>
          <w:color w:val="000003"/>
        </w:rPr>
      </w:pPr>
      <w:r w:rsidRPr="00202353">
        <w:rPr>
          <w:rFonts w:eastAsia="OpenSans" w:cs="OpenSans"/>
          <w:color w:val="000003"/>
        </w:rPr>
        <w:t>Comment ont évolué les recettes et les dépenses ces dernières années ?</w:t>
      </w:r>
    </w:p>
    <w:p w:rsidR="00A138B6" w:rsidRPr="00202353" w:rsidRDefault="00A138B6" w:rsidP="00A138B6">
      <w:pPr>
        <w:pStyle w:val="Sansinterligne"/>
        <w:jc w:val="both"/>
        <w:rPr>
          <w:rFonts w:eastAsia="OpenSans" w:cs="OpenSans"/>
          <w:color w:val="000003"/>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Pr="00976D72" w:rsidRDefault="00A138B6" w:rsidP="00A138B6">
      <w:pPr>
        <w:spacing w:after="0" w:line="240" w:lineRule="auto"/>
        <w:jc w:val="both"/>
      </w:pPr>
      <w:r w:rsidRPr="00976D72">
        <w:lastRenderedPageBreak/>
        <w:t>1.2. Le Budget de l’Etat</w:t>
      </w:r>
    </w:p>
    <w:p w:rsidR="00A138B6" w:rsidRPr="002F4EE2" w:rsidRDefault="00A138B6" w:rsidP="00A138B6">
      <w:pPr>
        <w:widowControl w:val="0"/>
        <w:suppressAutoHyphens/>
        <w:autoSpaceDE w:val="0"/>
        <w:spacing w:after="0" w:line="240" w:lineRule="auto"/>
        <w:jc w:val="both"/>
        <w:rPr>
          <w:b/>
          <w:sz w:val="16"/>
          <w:szCs w:val="16"/>
        </w:rPr>
      </w:pPr>
    </w:p>
    <w:p w:rsidR="00A138B6" w:rsidRPr="00202353" w:rsidRDefault="00A138B6" w:rsidP="00A138B6">
      <w:pPr>
        <w:widowControl w:val="0"/>
        <w:suppressAutoHyphens/>
        <w:autoSpaceDE w:val="0"/>
        <w:spacing w:after="0" w:line="240" w:lineRule="auto"/>
        <w:jc w:val="both"/>
        <w:rPr>
          <w:b/>
        </w:rPr>
      </w:pPr>
      <w:r w:rsidRPr="00202353">
        <w:rPr>
          <w:b/>
        </w:rPr>
        <w:t xml:space="preserve">DOCUMENT </w:t>
      </w:r>
      <w:r>
        <w:rPr>
          <w:b/>
        </w:rPr>
        <w:t>3</w:t>
      </w:r>
    </w:p>
    <w:p w:rsidR="00A138B6" w:rsidRPr="00202353" w:rsidRDefault="00A138B6" w:rsidP="00A138B6">
      <w:pPr>
        <w:widowControl w:val="0"/>
        <w:suppressAutoHyphens/>
        <w:autoSpaceDE w:val="0"/>
        <w:spacing w:after="0" w:line="240" w:lineRule="auto"/>
        <w:jc w:val="both"/>
      </w:pPr>
      <w:r w:rsidRPr="00202353">
        <w:t xml:space="preserve">Le budget est l'ensemble des comptes qui décrivent pour une année civile toutes les ressources et toutes les charges de l'État ; la comparaison des ressources (recettes) et des charges (dépenses) permet d'établir le </w:t>
      </w:r>
      <w:r w:rsidRPr="00202353">
        <w:rPr>
          <w:rStyle w:val="lev"/>
        </w:rPr>
        <w:t>solde budgétaire</w:t>
      </w:r>
      <w:r w:rsidRPr="00202353">
        <w:t xml:space="preserve"> (différences entre les recettes et les charges de l'État).</w:t>
      </w:r>
    </w:p>
    <w:p w:rsidR="00A138B6" w:rsidRPr="00202353" w:rsidRDefault="00A138B6" w:rsidP="00A138B6">
      <w:pPr>
        <w:widowControl w:val="0"/>
        <w:suppressAutoHyphens/>
        <w:autoSpaceDE w:val="0"/>
        <w:spacing w:after="0" w:line="240" w:lineRule="auto"/>
        <w:jc w:val="both"/>
      </w:pPr>
      <w:r w:rsidRPr="00202353">
        <w:t>Tr</w:t>
      </w:r>
      <w:r>
        <w:t>ois situations sont possibles :</w:t>
      </w:r>
    </w:p>
    <w:p w:rsidR="00A138B6" w:rsidRDefault="00A138B6" w:rsidP="00A138B6">
      <w:pPr>
        <w:widowControl w:val="0"/>
        <w:suppressAutoHyphens/>
        <w:autoSpaceDE w:val="0"/>
        <w:spacing w:after="0" w:line="240" w:lineRule="auto"/>
        <w:jc w:val="both"/>
      </w:pPr>
      <w:r w:rsidRPr="00202353">
        <w:t>- lorsque, au cours d'une année, le montant des recettes est égal au montant des charge</w:t>
      </w:r>
      <w:r>
        <w:t>s, le solde budgétaire est nul :</w:t>
      </w:r>
      <w:r w:rsidRPr="00202353">
        <w:t xml:space="preserve"> le budget est équilibré (on </w:t>
      </w:r>
      <w:r>
        <w:t>parle d'équilibre budgétaire) ;</w:t>
      </w:r>
    </w:p>
    <w:p w:rsidR="00A138B6" w:rsidRDefault="00A138B6" w:rsidP="00A138B6">
      <w:pPr>
        <w:widowControl w:val="0"/>
        <w:suppressAutoHyphens/>
        <w:autoSpaceDE w:val="0"/>
        <w:spacing w:after="0" w:line="240" w:lineRule="auto"/>
        <w:jc w:val="both"/>
      </w:pPr>
      <w:r w:rsidRPr="00202353">
        <w:t>- lorsque, au cours d'une année, le montant des recettes est supérieur au montant des charges, le solde budgétaire est positif : le budget est excédentaire (on</w:t>
      </w:r>
      <w:r>
        <w:t xml:space="preserve"> parle d'excédent budgétaire) ;</w:t>
      </w:r>
    </w:p>
    <w:p w:rsidR="00A138B6" w:rsidRPr="00202353" w:rsidRDefault="00A138B6" w:rsidP="00A138B6">
      <w:pPr>
        <w:widowControl w:val="0"/>
        <w:suppressAutoHyphens/>
        <w:autoSpaceDE w:val="0"/>
        <w:spacing w:after="0" w:line="240" w:lineRule="auto"/>
        <w:jc w:val="both"/>
      </w:pPr>
      <w:r w:rsidRPr="00202353">
        <w:t>- lorsque, au cours d'une année, le montant des recettes est inférieur au montant des charges, l</w:t>
      </w:r>
      <w:r>
        <w:t>e solde budgétaire est négatif :</w:t>
      </w:r>
      <w:r w:rsidRPr="00202353">
        <w:t xml:space="preserve"> le budget est déficitaire (on parle de </w:t>
      </w:r>
      <w:r w:rsidRPr="00202353">
        <w:rPr>
          <w:b/>
        </w:rPr>
        <w:t>déficit budgétaire</w:t>
      </w:r>
      <w:r w:rsidRPr="00202353">
        <w:t>).</w:t>
      </w:r>
    </w:p>
    <w:p w:rsidR="00A138B6" w:rsidRPr="00202353" w:rsidRDefault="00A138B6" w:rsidP="00A138B6">
      <w:pPr>
        <w:widowControl w:val="0"/>
        <w:suppressAutoHyphens/>
        <w:autoSpaceDE w:val="0"/>
        <w:spacing w:after="0" w:line="240" w:lineRule="auto"/>
        <w:jc w:val="right"/>
        <w:rPr>
          <w:rFonts w:eastAsia="OpenSans" w:cs="OpenSans"/>
          <w:color w:val="000003"/>
        </w:rPr>
      </w:pPr>
      <w:r w:rsidRPr="00202353">
        <w:t xml:space="preserve">Source : </w:t>
      </w:r>
      <w:hyperlink r:id="rId7" w:history="1">
        <w:r w:rsidRPr="00202353">
          <w:rPr>
            <w:rStyle w:val="Lienhypertexte"/>
            <w:rFonts w:eastAsia="OpenSans" w:cs="OpenSans"/>
          </w:rPr>
          <w:t>http://www.statapprendre.education.fr/comptes/etat/solde/solde_def.htm</w:t>
        </w:r>
      </w:hyperlink>
    </w:p>
    <w:p w:rsidR="00A138B6" w:rsidRPr="002F4EE2" w:rsidRDefault="00A138B6" w:rsidP="00A138B6">
      <w:pPr>
        <w:widowControl w:val="0"/>
        <w:suppressAutoHyphens/>
        <w:autoSpaceDE w:val="0"/>
        <w:spacing w:after="0" w:line="240" w:lineRule="auto"/>
        <w:jc w:val="both"/>
        <w:rPr>
          <w:b/>
          <w:sz w:val="24"/>
        </w:rPr>
      </w:pPr>
      <w:r w:rsidRPr="002F4EE2">
        <w:rPr>
          <w:b/>
          <w:sz w:val="24"/>
        </w:rPr>
        <w:t>Questions 3.</w:t>
      </w:r>
    </w:p>
    <w:p w:rsidR="00A138B6" w:rsidRDefault="00A138B6" w:rsidP="00A138B6">
      <w:pPr>
        <w:pStyle w:val="Paragraphedeliste"/>
        <w:widowControl w:val="0"/>
        <w:numPr>
          <w:ilvl w:val="0"/>
          <w:numId w:val="13"/>
        </w:numPr>
        <w:suppressAutoHyphens/>
        <w:autoSpaceDE w:val="0"/>
        <w:spacing w:after="0" w:line="240" w:lineRule="auto"/>
        <w:jc w:val="both"/>
      </w:pPr>
      <w:r w:rsidRPr="00202353">
        <w:t>Que signifie déficit budgétaire ?</w:t>
      </w:r>
    </w:p>
    <w:p w:rsidR="00A138B6" w:rsidRPr="00976D72" w:rsidRDefault="00A138B6" w:rsidP="00A138B6">
      <w:pPr>
        <w:widowControl w:val="0"/>
        <w:numPr>
          <w:ilvl w:val="0"/>
          <w:numId w:val="13"/>
        </w:numPr>
        <w:suppressAutoHyphens/>
        <w:autoSpaceDE w:val="0"/>
        <w:spacing w:after="0" w:line="240" w:lineRule="auto"/>
        <w:jc w:val="both"/>
        <w:rPr>
          <w:i/>
        </w:rPr>
      </w:pPr>
      <w:r w:rsidRPr="00202353">
        <w:rPr>
          <w:rFonts w:eastAsia="OpenSans" w:cs="OpenSans"/>
          <w:color w:val="000003"/>
        </w:rPr>
        <w:t>Quelle est l’origine d’un déficit budgétaire ?</w:t>
      </w:r>
    </w:p>
    <w:p w:rsidR="00A138B6" w:rsidRPr="00976D72" w:rsidRDefault="00A138B6" w:rsidP="00A138B6">
      <w:pPr>
        <w:pStyle w:val="Paragraphedeliste"/>
        <w:widowControl w:val="0"/>
        <w:numPr>
          <w:ilvl w:val="0"/>
          <w:numId w:val="13"/>
        </w:numPr>
        <w:suppressAutoHyphens/>
        <w:autoSpaceDE w:val="0"/>
        <w:spacing w:after="0" w:line="240" w:lineRule="auto"/>
        <w:jc w:val="both"/>
        <w:rPr>
          <w:rFonts w:eastAsia="OpenSans" w:cs="OpenSans"/>
          <w:color w:val="000003"/>
        </w:rPr>
      </w:pPr>
      <w:r w:rsidRPr="00202353">
        <w:t>Déficit budgétaire et déficit public sont-elles des expressions synonymes ?</w:t>
      </w:r>
    </w:p>
    <w:p w:rsidR="00A138B6" w:rsidRPr="002F4EE2" w:rsidRDefault="00A138B6" w:rsidP="00A138B6">
      <w:pPr>
        <w:widowControl w:val="0"/>
        <w:suppressAutoHyphens/>
        <w:autoSpaceDE w:val="0"/>
        <w:spacing w:after="0" w:line="240" w:lineRule="auto"/>
        <w:jc w:val="both"/>
        <w:rPr>
          <w:rFonts w:eastAsia="OpenSans" w:cs="OpenSans"/>
          <w:color w:val="000003"/>
          <w:sz w:val="16"/>
          <w:szCs w:val="16"/>
        </w:rPr>
      </w:pPr>
    </w:p>
    <w:p w:rsidR="00A138B6" w:rsidRPr="00976D72" w:rsidRDefault="00A138B6" w:rsidP="00A138B6">
      <w:pPr>
        <w:pStyle w:val="Sansinterligne"/>
        <w:jc w:val="both"/>
        <w:rPr>
          <w:b/>
        </w:rPr>
      </w:pPr>
      <w:r w:rsidRPr="00976D72">
        <w:rPr>
          <w:b/>
        </w:rPr>
        <w:t>DOCUMENT 4</w:t>
      </w:r>
    </w:p>
    <w:p w:rsidR="00A138B6" w:rsidRPr="00202353" w:rsidRDefault="00A138B6" w:rsidP="00A138B6">
      <w:pPr>
        <w:pStyle w:val="Sansinterligne"/>
        <w:jc w:val="both"/>
      </w:pPr>
      <w:r w:rsidRPr="00202353">
        <w:t>L'État, comme tout agent qui dépense plus qu'il n'a de ressources doit combler son déficit budgétaire ; pour ce faire, il doit trouver un financement. Il peut emprunter les ressources dont il a besoin auprès d'autres agents qui ont épargné (c'est la voie de l'endettement) ; il émet sur les marchés financiers des titres qui sont des obligations d'État à échéance plus ou moins longue ; encore faut-il inspirer suffisamment confiance pour ne pas payer des taux d'intérêt trop élevés. Il peut aussi financer son déficit en ayant recours à la création monétaire (pour les pays ayant adopté l'euro le financement monétaire est interdit en raison du risque inflationniste encouru).</w:t>
      </w:r>
    </w:p>
    <w:p w:rsidR="00A138B6" w:rsidRPr="00202353" w:rsidRDefault="00A138B6" w:rsidP="00A138B6">
      <w:pPr>
        <w:widowControl w:val="0"/>
        <w:suppressAutoHyphens/>
        <w:autoSpaceDE w:val="0"/>
        <w:spacing w:after="0" w:line="240" w:lineRule="auto"/>
        <w:jc w:val="right"/>
        <w:rPr>
          <w:rFonts w:eastAsia="OpenSans" w:cs="OpenSans"/>
          <w:color w:val="000003"/>
        </w:rPr>
      </w:pPr>
      <w:r w:rsidRPr="00202353">
        <w:t xml:space="preserve">Source : </w:t>
      </w:r>
      <w:hyperlink r:id="rId8" w:history="1">
        <w:r w:rsidRPr="00202353">
          <w:rPr>
            <w:rStyle w:val="Lienhypertexte"/>
            <w:rFonts w:eastAsia="OpenSans" w:cs="OpenSans"/>
          </w:rPr>
          <w:t>http://www.statapprendre.education.fr/comptes/etat/solde/financ_deficit.htm#</w:t>
        </w:r>
      </w:hyperlink>
    </w:p>
    <w:p w:rsidR="00A138B6" w:rsidRPr="00202353" w:rsidRDefault="00A138B6" w:rsidP="00A138B6">
      <w:pPr>
        <w:widowControl w:val="0"/>
        <w:suppressAutoHyphens/>
        <w:autoSpaceDE w:val="0"/>
        <w:spacing w:after="0" w:line="240" w:lineRule="auto"/>
        <w:jc w:val="both"/>
        <w:rPr>
          <w:rFonts w:eastAsia="OpenSans" w:cs="OpenSans"/>
          <w:b/>
          <w:color w:val="000003"/>
        </w:rPr>
      </w:pPr>
      <w:r w:rsidRPr="00202353">
        <w:rPr>
          <w:rFonts w:eastAsia="OpenSans" w:cs="OpenSans"/>
          <w:b/>
          <w:color w:val="000003"/>
        </w:rPr>
        <w:t>QUESTIONS</w:t>
      </w:r>
      <w:r>
        <w:rPr>
          <w:rFonts w:eastAsia="OpenSans" w:cs="OpenSans"/>
          <w:b/>
          <w:color w:val="000003"/>
        </w:rPr>
        <w:t xml:space="preserve"> 4.</w:t>
      </w:r>
    </w:p>
    <w:p w:rsidR="00A138B6" w:rsidRPr="00202353" w:rsidRDefault="00A138B6" w:rsidP="00A138B6">
      <w:pPr>
        <w:pStyle w:val="Paragraphedeliste"/>
        <w:widowControl w:val="0"/>
        <w:numPr>
          <w:ilvl w:val="0"/>
          <w:numId w:val="12"/>
        </w:numPr>
        <w:suppressAutoHyphens/>
        <w:autoSpaceDE w:val="0"/>
        <w:spacing w:after="0" w:line="240" w:lineRule="auto"/>
        <w:jc w:val="both"/>
        <w:rPr>
          <w:rFonts w:eastAsia="OpenSans" w:cs="OpenSans"/>
          <w:color w:val="000003"/>
        </w:rPr>
      </w:pPr>
      <w:r w:rsidRPr="00202353">
        <w:rPr>
          <w:rFonts w:eastAsia="OpenSans" w:cs="OpenSans"/>
          <w:color w:val="000003"/>
        </w:rPr>
        <w:t>Quelles sont les principales ressource</w:t>
      </w:r>
      <w:r>
        <w:rPr>
          <w:rFonts w:eastAsia="OpenSans" w:cs="OpenSans"/>
          <w:color w:val="000003"/>
        </w:rPr>
        <w:t>s de l’Etat au sens strict (APUC</w:t>
      </w:r>
      <w:r w:rsidRPr="00202353">
        <w:rPr>
          <w:rFonts w:eastAsia="OpenSans" w:cs="OpenSans"/>
          <w:color w:val="000003"/>
        </w:rPr>
        <w:t>) ?</w:t>
      </w:r>
    </w:p>
    <w:p w:rsidR="00A138B6" w:rsidRPr="00202353" w:rsidRDefault="00A138B6" w:rsidP="00A138B6">
      <w:pPr>
        <w:pStyle w:val="Paragraphedeliste"/>
        <w:widowControl w:val="0"/>
        <w:numPr>
          <w:ilvl w:val="0"/>
          <w:numId w:val="12"/>
        </w:numPr>
        <w:suppressAutoHyphens/>
        <w:autoSpaceDE w:val="0"/>
        <w:spacing w:after="0" w:line="240" w:lineRule="auto"/>
        <w:jc w:val="both"/>
        <w:rPr>
          <w:rFonts w:eastAsia="OpenSans" w:cs="OpenSans"/>
          <w:color w:val="000003"/>
        </w:rPr>
      </w:pPr>
      <w:r w:rsidRPr="00202353">
        <w:rPr>
          <w:rFonts w:eastAsia="OpenSans" w:cs="OpenSans"/>
          <w:color w:val="000003"/>
        </w:rPr>
        <w:t>En cas de déficit budgétaire, comment les AP</w:t>
      </w:r>
      <w:r>
        <w:rPr>
          <w:rFonts w:eastAsia="OpenSans" w:cs="OpenSans"/>
          <w:color w:val="000003"/>
        </w:rPr>
        <w:t xml:space="preserve">UC </w:t>
      </w:r>
      <w:r w:rsidRPr="00202353">
        <w:rPr>
          <w:rFonts w:eastAsia="OpenSans" w:cs="OpenSans"/>
          <w:color w:val="000003"/>
        </w:rPr>
        <w:t xml:space="preserve">financent-elles leur </w:t>
      </w:r>
      <w:r>
        <w:rPr>
          <w:rFonts w:eastAsia="OpenSans" w:cs="OpenSans"/>
          <w:color w:val="000003"/>
        </w:rPr>
        <w:t>besoin de financement</w:t>
      </w:r>
      <w:r w:rsidRPr="00202353">
        <w:rPr>
          <w:rFonts w:eastAsia="OpenSans" w:cs="OpenSans"/>
          <w:color w:val="000003"/>
        </w:rPr>
        <w:t> ?</w:t>
      </w:r>
    </w:p>
    <w:p w:rsidR="00A138B6" w:rsidRPr="00202353" w:rsidRDefault="00A138B6" w:rsidP="00A138B6">
      <w:pPr>
        <w:pStyle w:val="Paragraphedeliste"/>
        <w:widowControl w:val="0"/>
        <w:numPr>
          <w:ilvl w:val="0"/>
          <w:numId w:val="12"/>
        </w:numPr>
        <w:suppressAutoHyphens/>
        <w:autoSpaceDE w:val="0"/>
        <w:spacing w:after="0" w:line="240" w:lineRule="auto"/>
        <w:jc w:val="both"/>
        <w:rPr>
          <w:rFonts w:eastAsia="OpenSans" w:cs="OpenSans"/>
          <w:color w:val="000003"/>
        </w:rPr>
      </w:pPr>
      <w:r w:rsidRPr="00202353">
        <w:t>Pourquoi l’Etat, en France, ne recourt-il pas au financement monétaire pour financer son déficit budgétaire ?</w:t>
      </w:r>
    </w:p>
    <w:p w:rsidR="00A138B6" w:rsidRPr="002F4EE2" w:rsidRDefault="00A138B6" w:rsidP="00A138B6">
      <w:pPr>
        <w:pStyle w:val="Sansinterligne"/>
        <w:jc w:val="both"/>
        <w:rPr>
          <w:sz w:val="16"/>
          <w:szCs w:val="16"/>
        </w:rPr>
      </w:pPr>
    </w:p>
    <w:p w:rsidR="00A138B6" w:rsidRPr="00976D72" w:rsidRDefault="00A138B6" w:rsidP="00A138B6">
      <w:pPr>
        <w:pStyle w:val="Sansinterligne"/>
        <w:jc w:val="both"/>
        <w:rPr>
          <w:b/>
        </w:rPr>
      </w:pPr>
      <w:r w:rsidRPr="00976D72">
        <w:rPr>
          <w:b/>
        </w:rPr>
        <w:t>DOCUMENT 5. Elaboration du budget</w:t>
      </w:r>
    </w:p>
    <w:p w:rsidR="00A138B6" w:rsidRPr="00202353" w:rsidRDefault="00A138B6" w:rsidP="00A138B6">
      <w:pPr>
        <w:pStyle w:val="Sansinterligne"/>
        <w:jc w:val="center"/>
        <w:rPr>
          <w:rFonts w:eastAsia="OpenSans" w:cs="OpenSans"/>
          <w:color w:val="000003"/>
        </w:rPr>
      </w:pPr>
      <w:r w:rsidRPr="00202353">
        <w:rPr>
          <w:rFonts w:eastAsia="OpenSans" w:cs="OpenSans"/>
          <w:noProof/>
          <w:color w:val="000003"/>
          <w:lang w:eastAsia="fr-FR"/>
        </w:rPr>
        <w:drawing>
          <wp:inline distT="0" distB="0" distL="0" distR="0" wp14:anchorId="0EC86AF2" wp14:editId="39BB7CD6">
            <wp:extent cx="5705900" cy="3204000"/>
            <wp:effectExtent l="0" t="0" r="0" b="0"/>
            <wp:docPr id="1" name="Image 1" descr="DME-16-deficit budge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16-deficit budgeta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900" cy="3204000"/>
                    </a:xfrm>
                    <a:prstGeom prst="rect">
                      <a:avLst/>
                    </a:prstGeom>
                    <a:noFill/>
                    <a:ln>
                      <a:noFill/>
                    </a:ln>
                  </pic:spPr>
                </pic:pic>
              </a:graphicData>
            </a:graphic>
          </wp:inline>
        </w:drawing>
      </w:r>
    </w:p>
    <w:p w:rsidR="00A138B6" w:rsidRPr="00202353" w:rsidRDefault="00A138B6" w:rsidP="00A138B6">
      <w:pPr>
        <w:pStyle w:val="Sansinterligne"/>
        <w:jc w:val="right"/>
        <w:rPr>
          <w:rFonts w:eastAsia="OpenSans" w:cs="OpenSans"/>
          <w:color w:val="000003"/>
        </w:rPr>
      </w:pPr>
      <w:r>
        <w:t xml:space="preserve">Source : </w:t>
      </w:r>
      <w:hyperlink r:id="rId10" w:history="1">
        <w:r w:rsidRPr="00202353">
          <w:rPr>
            <w:rStyle w:val="Lienhypertexte"/>
            <w:rFonts w:eastAsia="OpenSans" w:cs="OpenSans"/>
          </w:rPr>
          <w:t>http://dessinemoileco.com/lelaboration-du-budget-de-letat/</w:t>
        </w:r>
      </w:hyperlink>
    </w:p>
    <w:p w:rsidR="00A138B6" w:rsidRPr="00202353" w:rsidRDefault="00A138B6" w:rsidP="00A138B6">
      <w:pPr>
        <w:pStyle w:val="Sansinterligne"/>
        <w:jc w:val="both"/>
        <w:rPr>
          <w:lang w:eastAsia="fr-FR"/>
        </w:rPr>
      </w:pPr>
      <w:r w:rsidRPr="00202353">
        <w:lastRenderedPageBreak/>
        <w:t>2. La politique de dépenses publiques peut avoir des effets contradictoires sur l’activité</w:t>
      </w:r>
    </w:p>
    <w:p w:rsidR="00A138B6" w:rsidRDefault="00A138B6" w:rsidP="00A138B6">
      <w:pPr>
        <w:pStyle w:val="Sansinterligne"/>
        <w:jc w:val="both"/>
        <w:rPr>
          <w:lang w:eastAsia="fr-FR"/>
        </w:rPr>
      </w:pPr>
      <w:r>
        <w:rPr>
          <w:lang w:eastAsia="fr-FR"/>
        </w:rPr>
        <w:t xml:space="preserve"> </w:t>
      </w:r>
    </w:p>
    <w:p w:rsidR="00A138B6" w:rsidRPr="00202353" w:rsidRDefault="00A138B6" w:rsidP="00A138B6">
      <w:pPr>
        <w:pStyle w:val="Sansinterligne"/>
        <w:jc w:val="both"/>
        <w:rPr>
          <w:lang w:eastAsia="fr-FR"/>
        </w:rPr>
      </w:pPr>
      <w:r w:rsidRPr="00202353">
        <w:rPr>
          <w:lang w:eastAsia="fr-FR"/>
        </w:rPr>
        <w:t>2.1. L’influence du déficit public sur le marché des fonds prêtables</w:t>
      </w:r>
    </w:p>
    <w:p w:rsidR="00A138B6" w:rsidRPr="00202353" w:rsidRDefault="00A138B6" w:rsidP="00A138B6">
      <w:pPr>
        <w:pStyle w:val="Sansinterligne"/>
        <w:jc w:val="both"/>
        <w:rPr>
          <w:lang w:eastAsia="fr-FR"/>
        </w:rPr>
      </w:pPr>
    </w:p>
    <w:p w:rsidR="00A138B6" w:rsidRPr="00043652" w:rsidRDefault="00A138B6" w:rsidP="00A138B6">
      <w:pPr>
        <w:pStyle w:val="Sansinterligne"/>
        <w:jc w:val="both"/>
        <w:rPr>
          <w:b/>
          <w:lang w:eastAsia="fr-FR"/>
        </w:rPr>
      </w:pPr>
      <w:r w:rsidRPr="00043652">
        <w:rPr>
          <w:b/>
          <w:lang w:eastAsia="fr-FR"/>
        </w:rPr>
        <w:t>DOCUMENT 6. L’effet d’éviction</w:t>
      </w:r>
    </w:p>
    <w:p w:rsidR="00A138B6" w:rsidRPr="00202353" w:rsidRDefault="00A138B6" w:rsidP="00A138B6">
      <w:pPr>
        <w:spacing w:after="0" w:line="240" w:lineRule="auto"/>
        <w:jc w:val="center"/>
        <w:rPr>
          <w:i/>
        </w:rPr>
      </w:pPr>
      <w:r w:rsidRPr="00202353">
        <w:rPr>
          <w:rFonts w:eastAsia="Times New Roman" w:cs="Times New Roman"/>
          <w:noProof/>
          <w:lang w:eastAsia="fr-FR"/>
        </w:rPr>
        <w:drawing>
          <wp:inline distT="0" distB="0" distL="0" distR="0" wp14:anchorId="1BD3C705" wp14:editId="2686C3E0">
            <wp:extent cx="4564380" cy="454279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4380" cy="4542790"/>
                    </a:xfrm>
                    <a:prstGeom prst="rect">
                      <a:avLst/>
                    </a:prstGeom>
                    <a:noFill/>
                    <a:ln>
                      <a:noFill/>
                    </a:ln>
                  </pic:spPr>
                </pic:pic>
              </a:graphicData>
            </a:graphic>
          </wp:inline>
        </w:drawing>
      </w:r>
    </w:p>
    <w:p w:rsidR="00A138B6" w:rsidRDefault="00A138B6" w:rsidP="00A138B6">
      <w:pPr>
        <w:spacing w:after="0" w:line="240" w:lineRule="auto"/>
        <w:jc w:val="both"/>
        <w:rPr>
          <w:i/>
        </w:rPr>
      </w:pPr>
      <w:proofErr w:type="gramStart"/>
      <w:r>
        <w:rPr>
          <w:i/>
        </w:rPr>
        <w:t>Notes</w:t>
      </w:r>
      <w:proofErr w:type="gramEnd"/>
      <w:r>
        <w:rPr>
          <w:i/>
        </w:rPr>
        <w:t> :</w:t>
      </w:r>
    </w:p>
    <w:p w:rsidR="00A138B6" w:rsidRPr="005A399C" w:rsidRDefault="00A138B6" w:rsidP="00A138B6">
      <w:pPr>
        <w:spacing w:after="0" w:line="240" w:lineRule="auto"/>
        <w:jc w:val="both"/>
        <w:rPr>
          <w:i/>
        </w:rPr>
      </w:pPr>
      <w:r w:rsidRPr="005A399C">
        <w:rPr>
          <w:i/>
        </w:rPr>
        <w:t>DPFP = Demande Privée de Fonds Prêtables</w:t>
      </w:r>
    </w:p>
    <w:p w:rsidR="00A138B6" w:rsidRDefault="00A138B6" w:rsidP="00A138B6">
      <w:pPr>
        <w:spacing w:after="0" w:line="240" w:lineRule="auto"/>
        <w:jc w:val="both"/>
        <w:rPr>
          <w:i/>
        </w:rPr>
      </w:pPr>
      <w:r>
        <w:rPr>
          <w:i/>
        </w:rPr>
        <w:t>DFP = Demande de Fonds Prêtables (correspondant à l’investissement privé)</w:t>
      </w:r>
    </w:p>
    <w:p w:rsidR="00A138B6" w:rsidRDefault="00A138B6" w:rsidP="00A138B6">
      <w:pPr>
        <w:spacing w:after="0" w:line="240" w:lineRule="auto"/>
        <w:jc w:val="both"/>
        <w:rPr>
          <w:i/>
        </w:rPr>
      </w:pPr>
      <w:r>
        <w:rPr>
          <w:i/>
        </w:rPr>
        <w:t>OFP = Offre de Fonds prêtables</w:t>
      </w:r>
    </w:p>
    <w:p w:rsidR="00A138B6" w:rsidRPr="00202353" w:rsidRDefault="00A138B6" w:rsidP="00A138B6">
      <w:pPr>
        <w:spacing w:after="0" w:line="240" w:lineRule="auto"/>
        <w:jc w:val="both"/>
        <w:rPr>
          <w:i/>
        </w:rPr>
      </w:pPr>
    </w:p>
    <w:p w:rsidR="00E37150" w:rsidRDefault="00A138B6" w:rsidP="00A138B6">
      <w:pPr>
        <w:pStyle w:val="Sansinterligne"/>
        <w:jc w:val="both"/>
        <w:rPr>
          <w:lang w:eastAsia="fr-FR"/>
        </w:rPr>
      </w:pPr>
      <w:r w:rsidRPr="00043652">
        <w:rPr>
          <w:b/>
          <w:lang w:eastAsia="fr-FR"/>
        </w:rPr>
        <w:t>QUESTION</w:t>
      </w:r>
      <w:r w:rsidR="00E37150">
        <w:rPr>
          <w:b/>
          <w:lang w:eastAsia="fr-FR"/>
        </w:rPr>
        <w:t>S</w:t>
      </w:r>
      <w:r>
        <w:rPr>
          <w:b/>
          <w:lang w:eastAsia="fr-FR"/>
        </w:rPr>
        <w:t xml:space="preserve"> 6</w:t>
      </w:r>
      <w:r w:rsidRPr="00043652">
        <w:rPr>
          <w:b/>
          <w:lang w:eastAsia="fr-FR"/>
        </w:rPr>
        <w:t> :</w:t>
      </w:r>
      <w:r>
        <w:rPr>
          <w:lang w:eastAsia="fr-FR"/>
        </w:rPr>
        <w:t xml:space="preserve"> </w:t>
      </w:r>
    </w:p>
    <w:p w:rsidR="00E37150" w:rsidRDefault="00E37150" w:rsidP="00E37150">
      <w:pPr>
        <w:pStyle w:val="Sansinterligne"/>
        <w:numPr>
          <w:ilvl w:val="0"/>
          <w:numId w:val="21"/>
        </w:numPr>
        <w:jc w:val="both"/>
        <w:rPr>
          <w:lang w:eastAsia="fr-FR"/>
        </w:rPr>
      </w:pPr>
      <w:r>
        <w:rPr>
          <w:lang w:eastAsia="fr-FR"/>
        </w:rPr>
        <w:t>Expliquez</w:t>
      </w:r>
      <w:r w:rsidR="00A138B6" w:rsidRPr="00AB3D39">
        <w:rPr>
          <w:lang w:eastAsia="fr-FR"/>
        </w:rPr>
        <w:t xml:space="preserve"> comment un déficit public</w:t>
      </w:r>
      <w:r w:rsidR="00A138B6">
        <w:rPr>
          <w:lang w:eastAsia="fr-FR"/>
        </w:rPr>
        <w:t>,</w:t>
      </w:r>
      <w:r w:rsidR="00A138B6" w:rsidRPr="00043652">
        <w:rPr>
          <w:lang w:eastAsia="fr-FR"/>
        </w:rPr>
        <w:t xml:space="preserve"> </w:t>
      </w:r>
      <w:r w:rsidR="00A138B6" w:rsidRPr="00AB3D39">
        <w:rPr>
          <w:lang w:eastAsia="fr-FR"/>
        </w:rPr>
        <w:t>qu</w:t>
      </w:r>
      <w:r w:rsidR="00A138B6">
        <w:rPr>
          <w:lang w:eastAsia="fr-FR"/>
        </w:rPr>
        <w:t>e</w:t>
      </w:r>
      <w:r w:rsidR="00A138B6" w:rsidRPr="00043652">
        <w:rPr>
          <w:lang w:eastAsia="fr-FR"/>
        </w:rPr>
        <w:t xml:space="preserve"> </w:t>
      </w:r>
      <w:r w:rsidR="00A138B6" w:rsidRPr="00AB3D39">
        <w:rPr>
          <w:lang w:eastAsia="fr-FR"/>
        </w:rPr>
        <w:t xml:space="preserve">le gouvernement </w:t>
      </w:r>
      <w:r w:rsidR="00A138B6">
        <w:rPr>
          <w:lang w:eastAsia="fr-FR"/>
        </w:rPr>
        <w:t>finance</w:t>
      </w:r>
      <w:r w:rsidR="00A138B6" w:rsidRPr="00AB3D39">
        <w:rPr>
          <w:lang w:eastAsia="fr-FR"/>
        </w:rPr>
        <w:t xml:space="preserve"> sur les marchés</w:t>
      </w:r>
      <w:r w:rsidR="00A138B6">
        <w:rPr>
          <w:lang w:eastAsia="fr-FR"/>
        </w:rPr>
        <w:t>,</w:t>
      </w:r>
      <w:r w:rsidR="00A138B6" w:rsidRPr="00AB3D39">
        <w:rPr>
          <w:lang w:eastAsia="fr-FR"/>
        </w:rPr>
        <w:t xml:space="preserve"> influe sur le taux </w:t>
      </w:r>
      <w:r w:rsidR="00A138B6">
        <w:rPr>
          <w:lang w:eastAsia="fr-FR"/>
        </w:rPr>
        <w:t>d’intérêt réel, l’épargne et l’investissement</w:t>
      </w:r>
      <w:r w:rsidR="00A138B6" w:rsidRPr="00AB3D39">
        <w:rPr>
          <w:lang w:eastAsia="fr-FR"/>
        </w:rPr>
        <w:t xml:space="preserve"> sur le marché des fonds prêtables</w:t>
      </w:r>
      <w:r>
        <w:rPr>
          <w:lang w:eastAsia="fr-FR"/>
        </w:rPr>
        <w:t xml:space="preserve">. </w:t>
      </w:r>
    </w:p>
    <w:p w:rsidR="00A138B6" w:rsidRDefault="00E37150" w:rsidP="00E37150">
      <w:pPr>
        <w:pStyle w:val="Sansinterligne"/>
        <w:numPr>
          <w:ilvl w:val="0"/>
          <w:numId w:val="21"/>
        </w:numPr>
        <w:jc w:val="both"/>
        <w:rPr>
          <w:lang w:eastAsia="fr-FR"/>
        </w:rPr>
      </w:pPr>
      <w:r>
        <w:rPr>
          <w:lang w:eastAsia="fr-FR"/>
        </w:rPr>
        <w:t>Complétez</w:t>
      </w:r>
      <w:r w:rsidR="003B1389">
        <w:rPr>
          <w:lang w:eastAsia="fr-FR"/>
        </w:rPr>
        <w:t xml:space="preserve"> l</w:t>
      </w:r>
      <w:r>
        <w:rPr>
          <w:lang w:eastAsia="fr-FR"/>
        </w:rPr>
        <w:t>es cases vides sur le graphique</w:t>
      </w:r>
      <w:r w:rsidR="003B1389">
        <w:rPr>
          <w:lang w:eastAsia="fr-FR"/>
        </w:rPr>
        <w:t>.</w:t>
      </w: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Pr="002F4EE2" w:rsidRDefault="00A138B6" w:rsidP="00A138B6">
      <w:pPr>
        <w:autoSpaceDE w:val="0"/>
        <w:jc w:val="both"/>
        <w:rPr>
          <w:rFonts w:eastAsia="OpenSans" w:cs="OpenSans"/>
          <w:color w:val="000003"/>
        </w:rPr>
      </w:pPr>
      <w:r w:rsidRPr="002F4EE2">
        <w:rPr>
          <w:b/>
          <w:lang w:eastAsia="fr-FR"/>
        </w:rPr>
        <w:lastRenderedPageBreak/>
        <w:t>DOCUMENT 7</w:t>
      </w:r>
      <w:r>
        <w:rPr>
          <w:b/>
          <w:lang w:eastAsia="fr-FR"/>
        </w:rPr>
        <w:t>.</w:t>
      </w:r>
      <w:r w:rsidRPr="002F4EE2">
        <w:t xml:space="preserve"> </w:t>
      </w:r>
      <w:r w:rsidRPr="00202353">
        <w:t xml:space="preserve">Dessin de Gary </w:t>
      </w:r>
      <w:proofErr w:type="spellStart"/>
      <w:r w:rsidRPr="00202353">
        <w:t>Varvel</w:t>
      </w:r>
      <w:proofErr w:type="spellEnd"/>
      <w:r w:rsidRPr="00202353">
        <w:t xml:space="preserve"> (caricaturiste politique américain</w:t>
      </w:r>
      <w:r>
        <w:t>°</w:t>
      </w:r>
    </w:p>
    <w:p w:rsidR="00A138B6" w:rsidRPr="00202353" w:rsidRDefault="00A138B6" w:rsidP="00A138B6">
      <w:pPr>
        <w:autoSpaceDE w:val="0"/>
        <w:jc w:val="center"/>
        <w:rPr>
          <w:rFonts w:eastAsia="OpenSans" w:cs="OpenSans"/>
          <w:color w:val="000003"/>
        </w:rPr>
      </w:pPr>
      <w:r w:rsidRPr="00202353">
        <w:rPr>
          <w:rFonts w:eastAsia="OpenSans" w:cs="OpenSans"/>
          <w:noProof/>
          <w:color w:val="000003"/>
          <w:lang w:eastAsia="fr-FR"/>
        </w:rPr>
        <w:drawing>
          <wp:inline distT="0" distB="0" distL="0" distR="0" wp14:anchorId="599E0DA9" wp14:editId="1F7EFA18">
            <wp:extent cx="5407200" cy="4122000"/>
            <wp:effectExtent l="0" t="0" r="3175" b="0"/>
            <wp:docPr id="4" name="Image 4" descr="effet d'ev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fet d'evi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200" cy="4122000"/>
                    </a:xfrm>
                    <a:prstGeom prst="rect">
                      <a:avLst/>
                    </a:prstGeom>
                    <a:noFill/>
                    <a:ln>
                      <a:noFill/>
                    </a:ln>
                  </pic:spPr>
                </pic:pic>
              </a:graphicData>
            </a:graphic>
          </wp:inline>
        </w:drawing>
      </w:r>
    </w:p>
    <w:p w:rsidR="00A138B6" w:rsidRPr="002F4EE2" w:rsidRDefault="00A138B6" w:rsidP="00A138B6">
      <w:pPr>
        <w:spacing w:after="0" w:line="240" w:lineRule="auto"/>
        <w:jc w:val="both"/>
      </w:pPr>
      <w:r w:rsidRPr="002F4EE2">
        <w:rPr>
          <w:b/>
        </w:rPr>
        <w:t>Question 7 :</w:t>
      </w:r>
      <w:r w:rsidRPr="002F4EE2">
        <w:t xml:space="preserve"> Commentez ce dessin, en quoi illustre-t-il l’effet d’éviction ?</w:t>
      </w:r>
    </w:p>
    <w:p w:rsidR="00A138B6" w:rsidRPr="00202353" w:rsidRDefault="00A138B6" w:rsidP="00A138B6">
      <w:pPr>
        <w:spacing w:after="0" w:line="240" w:lineRule="auto"/>
        <w:jc w:val="both"/>
        <w:rPr>
          <w:i/>
        </w:rPr>
      </w:pPr>
    </w:p>
    <w:p w:rsidR="00A138B6" w:rsidRPr="00043652" w:rsidRDefault="00A138B6" w:rsidP="00A138B6">
      <w:pPr>
        <w:spacing w:after="0" w:line="240" w:lineRule="auto"/>
        <w:jc w:val="both"/>
        <w:rPr>
          <w:i/>
        </w:rPr>
      </w:pPr>
      <w:r>
        <w:rPr>
          <w:i/>
        </w:rPr>
        <w:t xml:space="preserve">2.2. </w:t>
      </w:r>
      <w:r w:rsidRPr="00043652">
        <w:rPr>
          <w:i/>
        </w:rPr>
        <w:t>La dépense publique comme instrument de relance de l’activité</w:t>
      </w:r>
    </w:p>
    <w:p w:rsidR="00A138B6" w:rsidRDefault="00A138B6" w:rsidP="00A138B6">
      <w:pPr>
        <w:pStyle w:val="Sansinterligne"/>
        <w:jc w:val="both"/>
        <w:rPr>
          <w:b/>
        </w:rPr>
      </w:pPr>
    </w:p>
    <w:p w:rsidR="00A138B6" w:rsidRPr="00B708A5" w:rsidRDefault="00A138B6" w:rsidP="00A138B6">
      <w:pPr>
        <w:pStyle w:val="Sansinterligne"/>
        <w:jc w:val="both"/>
        <w:rPr>
          <w:b/>
        </w:rPr>
      </w:pPr>
      <w:r w:rsidRPr="00B708A5">
        <w:rPr>
          <w:b/>
        </w:rPr>
        <w:t xml:space="preserve">DOCUMENT </w:t>
      </w:r>
      <w:r>
        <w:rPr>
          <w:b/>
        </w:rPr>
        <w:t>7</w:t>
      </w:r>
      <w:r w:rsidRPr="00B708A5">
        <w:rPr>
          <w:b/>
        </w:rPr>
        <w:t>. La capacité stabilisatrice des dépenses publiques</w:t>
      </w:r>
    </w:p>
    <w:p w:rsidR="00A138B6" w:rsidRPr="00B708A5" w:rsidRDefault="00A138B6" w:rsidP="00A138B6">
      <w:pPr>
        <w:pStyle w:val="Sansinterligne"/>
        <w:jc w:val="both"/>
      </w:pPr>
      <w:r w:rsidRPr="00B708A5">
        <w:t>L'utilisation des dépenses publiques en vue d'une stabilisation conjoncturelle se rattache aux théories keynésiennes. Elles ont mis l'accent sur l'éventualité d'épisodes de déséquilibres</w:t>
      </w:r>
      <w:bookmarkStart w:id="1" w:name="fnref52"/>
      <w:bookmarkEnd w:id="1"/>
      <w:r w:rsidRPr="00B708A5">
        <w:rPr>
          <w:vertAlign w:val="superscript"/>
        </w:rPr>
        <w:t xml:space="preserve">1 </w:t>
      </w:r>
      <w:r w:rsidRPr="00B708A5">
        <w:t>économiques entre l'offre et la demande, épisodes créateurs soit de déficit de croissance et de chômage - quand la demande se contracte en deçà de l'offre disponible -, soit d'inflation - lorsque la demande excède les capacités d'offre.</w:t>
      </w:r>
    </w:p>
    <w:p w:rsidR="00A138B6" w:rsidRPr="00B708A5" w:rsidRDefault="00A138B6" w:rsidP="00A138B6">
      <w:pPr>
        <w:pStyle w:val="Sansinterligne"/>
        <w:jc w:val="both"/>
      </w:pPr>
      <w:r w:rsidRPr="00B708A5">
        <w:t xml:space="preserve">Les </w:t>
      </w:r>
      <w:r w:rsidRPr="00B708A5">
        <w:rPr>
          <w:rStyle w:val="lev"/>
        </w:rPr>
        <w:t>dépenses publiques</w:t>
      </w:r>
      <w:r w:rsidRPr="00B708A5">
        <w:t xml:space="preserve"> étant, à côté de la consommation et de l'investissement des agents privés un </w:t>
      </w:r>
      <w:r w:rsidRPr="00B708A5">
        <w:rPr>
          <w:rStyle w:val="lev"/>
        </w:rPr>
        <w:t>élément de la demande globale</w:t>
      </w:r>
      <w:r w:rsidRPr="00B708A5">
        <w:t>, l'État, qui peut fixer leur montant, doit les augmenter quand la demande est insuffisante ou les réduire quand elle est excessive, cette dernière recommandation étant souvent passée sous silence par les critiques adressées aux théories keynésiennes.</w:t>
      </w:r>
    </w:p>
    <w:p w:rsidR="00A138B6" w:rsidRPr="00B708A5" w:rsidRDefault="00A138B6" w:rsidP="00A138B6">
      <w:pPr>
        <w:pStyle w:val="Sansinterligne"/>
        <w:jc w:val="both"/>
      </w:pPr>
      <w:r w:rsidRPr="00B708A5">
        <w:t xml:space="preserve">En outre, ces approches font valoir qu'une augmentation des dépenses publiques […] </w:t>
      </w:r>
      <w:r w:rsidRPr="00B708A5">
        <w:rPr>
          <w:rStyle w:val="lev"/>
        </w:rPr>
        <w:t>augmente le niveau de la production</w:t>
      </w:r>
      <w:r w:rsidRPr="00B708A5">
        <w:rPr>
          <w:b/>
        </w:rPr>
        <w:t>.</w:t>
      </w:r>
      <w:r w:rsidRPr="00B708A5">
        <w:t xml:space="preserve"> […]</w:t>
      </w:r>
    </w:p>
    <w:p w:rsidR="00A138B6" w:rsidRPr="00B708A5" w:rsidRDefault="00A138B6" w:rsidP="00A138B6">
      <w:pPr>
        <w:pStyle w:val="Sansinterligne"/>
        <w:jc w:val="both"/>
      </w:pPr>
      <w:r w:rsidRPr="00B708A5">
        <w:t xml:space="preserve">Les dépenses publiques sont une composante de la demande globale. Celle-ci augmente lorsque les dépenses publiques s'accroissent. </w:t>
      </w:r>
      <w:r>
        <w:t>[…]</w:t>
      </w:r>
    </w:p>
    <w:p w:rsidR="00A138B6" w:rsidRPr="00B708A5" w:rsidRDefault="00A138B6" w:rsidP="00A138B6">
      <w:pPr>
        <w:pStyle w:val="Sansinterligne"/>
        <w:jc w:val="both"/>
      </w:pPr>
      <w:bookmarkStart w:id="2" w:name="fn52"/>
      <w:bookmarkEnd w:id="2"/>
      <w:r w:rsidRPr="00B708A5">
        <w:t>1.</w:t>
      </w:r>
      <w:r w:rsidRPr="00B708A5">
        <w:rPr>
          <w:rStyle w:val="Accentuation"/>
        </w:rPr>
        <w:t xml:space="preserve"> Ces épisodes étaient jusque-là mis sur le compte d'une rigidité des prix par les économistes classiques pour lesquels l'essentiel était ainsi d'assurer qu'une flexion des prix rétablisse un équilibre transitoirement compromis.</w:t>
      </w:r>
    </w:p>
    <w:p w:rsidR="00A138B6" w:rsidRDefault="00A138B6" w:rsidP="00A138B6">
      <w:pPr>
        <w:pStyle w:val="Sansinterligne"/>
        <w:jc w:val="right"/>
        <w:rPr>
          <w:lang w:eastAsia="fr-FR"/>
        </w:rPr>
      </w:pPr>
      <w:r>
        <w:rPr>
          <w:lang w:eastAsia="fr-FR"/>
        </w:rPr>
        <w:t>Source : « </w:t>
      </w:r>
      <w:r w:rsidRPr="003F5951">
        <w:t>Retour sur l'économie des dépenses publiques</w:t>
      </w:r>
      <w:r>
        <w:t> »,</w:t>
      </w:r>
      <w:r w:rsidRPr="003174C9">
        <w:t xml:space="preserve"> </w:t>
      </w:r>
      <w:r>
        <w:t>Rapport d'information n° 441 (2007-2008) de M. </w:t>
      </w:r>
      <w:hyperlink r:id="rId13" w:history="1">
        <w:r>
          <w:rPr>
            <w:rStyle w:val="Lienhypertexte"/>
          </w:rPr>
          <w:t>Bernard ANGELS</w:t>
        </w:r>
      </w:hyperlink>
      <w:r>
        <w:t xml:space="preserve">, déposé le 2 juillet 2008, </w:t>
      </w:r>
      <w:hyperlink r:id="rId14" w:history="1">
        <w:r w:rsidRPr="00F60D96">
          <w:rPr>
            <w:rStyle w:val="Lienhypertexte"/>
            <w:lang w:eastAsia="fr-FR"/>
          </w:rPr>
          <w:t>https://www.senat.fr/rap/r07-441/r07-44166.html</w:t>
        </w:r>
      </w:hyperlink>
    </w:p>
    <w:p w:rsidR="00A138B6" w:rsidRPr="00202353" w:rsidRDefault="00A138B6" w:rsidP="00A138B6">
      <w:pPr>
        <w:pStyle w:val="Sansinterligne"/>
        <w:jc w:val="both"/>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Default="00A138B6" w:rsidP="00A138B6">
      <w:pPr>
        <w:pStyle w:val="Sansinterligne"/>
        <w:jc w:val="both"/>
        <w:rPr>
          <w:lang w:eastAsia="fr-FR"/>
        </w:rPr>
      </w:pPr>
    </w:p>
    <w:p w:rsidR="00A138B6" w:rsidRPr="00202353" w:rsidRDefault="00A138B6" w:rsidP="00A138B6">
      <w:pPr>
        <w:pStyle w:val="Sansinterligne"/>
        <w:jc w:val="both"/>
        <w:rPr>
          <w:lang w:eastAsia="fr-FR"/>
        </w:rPr>
      </w:pPr>
      <w:r w:rsidRPr="002F4EE2">
        <w:rPr>
          <w:b/>
          <w:lang w:eastAsia="fr-FR"/>
        </w:rPr>
        <w:lastRenderedPageBreak/>
        <w:t>Exercice.</w:t>
      </w:r>
      <w:r w:rsidR="00E37150">
        <w:rPr>
          <w:lang w:eastAsia="fr-FR"/>
        </w:rPr>
        <w:t xml:space="preserve"> Reconstituez</w:t>
      </w:r>
      <w:r w:rsidRPr="00202353">
        <w:rPr>
          <w:lang w:eastAsia="fr-FR"/>
        </w:rPr>
        <w:t xml:space="preserve"> le schéma ci-dessous à l’aide des éléments suivants : Production stimulée (croissance économique) ; Hausse des revenus versés ; Incitation à la dépense privée</w:t>
      </w:r>
      <w:r>
        <w:rPr>
          <w:lang w:eastAsia="fr-FR"/>
        </w:rPr>
        <w:t xml:space="preserve"> (I</w:t>
      </w:r>
      <w:r w:rsidRPr="00202353">
        <w:rPr>
          <w:lang w:eastAsia="fr-FR"/>
        </w:rPr>
        <w:t>); Action à la hausse sur les dépenses publiques ; Hausse de l’emploi possible ;</w:t>
      </w:r>
      <w:r>
        <w:rPr>
          <w:lang w:eastAsia="fr-FR"/>
        </w:rPr>
        <w:t xml:space="preserve"> </w:t>
      </w:r>
      <w:r w:rsidRPr="00202353">
        <w:rPr>
          <w:lang w:eastAsia="fr-FR"/>
        </w:rPr>
        <w:t>Hausse des investissements publics (G)</w:t>
      </w:r>
    </w:p>
    <w:tbl>
      <w:tblPr>
        <w:tblW w:w="0" w:type="auto"/>
        <w:tblLook w:val="04A0" w:firstRow="1" w:lastRow="0" w:firstColumn="1" w:lastColumn="0" w:noHBand="0" w:noVBand="1"/>
      </w:tblPr>
      <w:tblGrid>
        <w:gridCol w:w="1606"/>
        <w:gridCol w:w="451"/>
        <w:gridCol w:w="1977"/>
        <w:gridCol w:w="451"/>
        <w:gridCol w:w="1367"/>
        <w:gridCol w:w="451"/>
        <w:gridCol w:w="1872"/>
        <w:gridCol w:w="451"/>
        <w:gridCol w:w="1228"/>
      </w:tblGrid>
      <w:tr w:rsidR="00A138B6" w:rsidRPr="00202353" w:rsidTr="00DF3C83">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r w:rsidRPr="00202353">
              <w:rPr>
                <w:rFonts w:eastAsia="Times New Roman" w:cs="Times New Roman"/>
                <w:lang w:eastAsia="fr-FR"/>
              </w:rPr>
              <w:t>Action à la hausse sur les dépenses publiques</w:t>
            </w: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r w:rsidRPr="00202353">
              <w:rPr>
                <w:rFonts w:eastAsia="Times New Roman" w:cs="Times New Roman"/>
                <w:color w:val="FFFFFF" w:themeColor="background1"/>
                <w:lang w:eastAsia="fr-FR"/>
              </w:rPr>
              <w:t>Hausse des investissements publics (G)</w:t>
            </w: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rPr>
            </w:pPr>
            <w:r w:rsidRPr="00202353">
              <w:rPr>
                <w:rFonts w:eastAsia="Times New Roman" w:cs="Times New Roman"/>
                <w:lang w:eastAsia="fr-FR"/>
              </w:rPr>
              <w:t>Hausse de la demande globale</w:t>
            </w:r>
          </w:p>
        </w:tc>
        <w:tc>
          <w:tcPr>
            <w:tcW w:w="0" w:type="auto"/>
            <w:tcBorders>
              <w:lef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jc w:val="both"/>
              <w:rPr>
                <w:rFonts w:eastAsia="OpenSans" w:cs="OpenSans"/>
                <w:color w:val="000003"/>
              </w:rPr>
            </w:pPr>
          </w:p>
        </w:tc>
      </w:tr>
      <w:tr w:rsidR="00A138B6" w:rsidRPr="00202353" w:rsidTr="00DF3C83">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tcBorders>
              <w:left w:val="single" w:sz="4" w:space="0" w:color="auto"/>
            </w:tcBorders>
            <w:shd w:val="clear" w:color="auto" w:fill="auto"/>
            <w:vAlign w:val="center"/>
          </w:tcPr>
          <w:p w:rsidR="00A138B6" w:rsidRPr="00202353" w:rsidRDefault="00A138B6" w:rsidP="00DF3C83">
            <w:pPr>
              <w:jc w:val="both"/>
              <w:rPr>
                <w:rFonts w:eastAsia="OpenSans" w:cs="OpenSans"/>
                <w:color w:val="000003"/>
              </w:rPr>
            </w:pPr>
          </w:p>
        </w:tc>
        <w:tc>
          <w:tcPr>
            <w:tcW w:w="0" w:type="auto"/>
            <w:tcBorders>
              <w:top w:val="single" w:sz="4" w:space="0" w:color="auto"/>
              <w:bottom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tcBorders>
              <w:righ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rPr>
            </w:pPr>
          </w:p>
        </w:tc>
        <w:tc>
          <w:tcPr>
            <w:tcW w:w="0" w:type="auto"/>
            <w:tcBorders>
              <w:lef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tcBorders>
              <w:bottom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tcBorders>
              <w:bottom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r>
      <w:tr w:rsidR="00A138B6" w:rsidRPr="00202353" w:rsidTr="00DF3C83">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Times New Roman" w:cs="Times New Roman"/>
                <w:color w:val="FFFFFF" w:themeColor="background1"/>
                <w:lang w:eastAsia="fr-FR"/>
              </w:rPr>
            </w:pPr>
            <w:r w:rsidRPr="00202353">
              <w:rPr>
                <w:rFonts w:eastAsia="Times New Roman" w:cs="Times New Roman"/>
                <w:color w:val="FFFFFF" w:themeColor="background1"/>
                <w:lang w:eastAsia="fr-FR"/>
              </w:rPr>
              <w:t>Hausse des revenus versés</w:t>
            </w:r>
          </w:p>
          <w:p w:rsidR="00A138B6" w:rsidRPr="00202353" w:rsidRDefault="00A138B6" w:rsidP="00DF3C83">
            <w:pPr>
              <w:autoSpaceDE w:val="0"/>
              <w:jc w:val="both"/>
              <w:rPr>
                <w:rFonts w:eastAsia="OpenSans" w:cs="OpenSans"/>
                <w:color w:val="FFFFFF" w:themeColor="background1"/>
              </w:rPr>
            </w:pPr>
            <w:r w:rsidRPr="00202353">
              <w:rPr>
                <w:rFonts w:eastAsia="Times New Roman" w:cs="Times New Roman"/>
                <w:color w:val="FFFFFF" w:themeColor="background1"/>
                <w:lang w:eastAsia="fr-FR"/>
              </w:rPr>
              <w:t>(favorise la C)</w:t>
            </w: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rPr>
            </w:pP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FFFFFF" w:themeColor="background1"/>
              </w:rPr>
            </w:pPr>
            <w:r w:rsidRPr="00202353">
              <w:rPr>
                <w:rFonts w:eastAsia="Times New Roman" w:cs="Times New Roman"/>
                <w:color w:val="FFFFFF" w:themeColor="background1"/>
                <w:lang w:eastAsia="fr-FR"/>
              </w:rPr>
              <w:t>Production stimulée (croissance économique)</w:t>
            </w: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rPr>
                <w:color w:val="FFFFFF" w:themeColor="background1"/>
              </w:rPr>
            </w:pPr>
            <w:r w:rsidRPr="00202353">
              <w:rPr>
                <w:color w:val="FFFFFF" w:themeColor="background1"/>
              </w:rPr>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FFFFFF" w:themeColor="background1"/>
              </w:rPr>
            </w:pPr>
            <w:r w:rsidRPr="00202353">
              <w:rPr>
                <w:rFonts w:eastAsia="Times New Roman" w:cs="Times New Roman"/>
                <w:color w:val="FFFFFF" w:themeColor="background1"/>
                <w:lang w:eastAsia="fr-FR"/>
              </w:rPr>
              <w:t>Hausse de l’emploi possible</w:t>
            </w:r>
          </w:p>
        </w:tc>
      </w:tr>
      <w:tr w:rsidR="00A138B6" w:rsidRPr="00202353" w:rsidTr="00DF3C83">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tcBorders>
              <w:left w:val="single" w:sz="4" w:space="0" w:color="auto"/>
            </w:tcBorders>
            <w:shd w:val="clear" w:color="auto" w:fill="auto"/>
            <w:vAlign w:val="center"/>
          </w:tcPr>
          <w:p w:rsidR="00A138B6" w:rsidRPr="00202353" w:rsidRDefault="00A138B6" w:rsidP="00DF3C83">
            <w:pPr>
              <w:jc w:val="both"/>
              <w:rPr>
                <w:rFonts w:eastAsia="OpenSans" w:cs="OpenSans"/>
                <w:color w:val="000003"/>
              </w:rPr>
            </w:pPr>
          </w:p>
        </w:tc>
        <w:tc>
          <w:tcPr>
            <w:tcW w:w="0" w:type="auto"/>
            <w:tcBorders>
              <w:top w:val="single" w:sz="4" w:space="0" w:color="auto"/>
              <w:bottom w:val="single" w:sz="4" w:space="0" w:color="auto"/>
            </w:tcBorders>
            <w:shd w:val="clear" w:color="auto" w:fill="auto"/>
            <w:vAlign w:val="center"/>
          </w:tcPr>
          <w:p w:rsidR="00A138B6" w:rsidRPr="00202353" w:rsidRDefault="00A138B6" w:rsidP="00DF3C83">
            <w:pPr>
              <w:autoSpaceDE w:val="0"/>
              <w:jc w:val="both"/>
              <w:rPr>
                <w:rFonts w:eastAsia="OpenSans" w:cs="OpenSans"/>
                <w:color w:val="FFFFFF" w:themeColor="background1"/>
              </w:rPr>
            </w:pPr>
          </w:p>
        </w:tc>
        <w:tc>
          <w:tcPr>
            <w:tcW w:w="0" w:type="auto"/>
            <w:tcBorders>
              <w:righ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rPr>
            </w:pPr>
          </w:p>
        </w:tc>
        <w:tc>
          <w:tcPr>
            <w:tcW w:w="0" w:type="auto"/>
            <w:tcBorders>
              <w:lef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tcBorders>
              <w:top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tcBorders>
              <w:top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r>
      <w:tr w:rsidR="00A138B6" w:rsidRPr="00202353" w:rsidTr="00DF3C83">
        <w:trPr>
          <w:trHeight w:val="53"/>
        </w:trPr>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color w:val="000003"/>
              </w:rPr>
            </w:pP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Times New Roman" w:cs="Times New Roman"/>
                <w:color w:val="FFFFFF" w:themeColor="background1"/>
                <w:lang w:eastAsia="fr-FR"/>
              </w:rPr>
            </w:pPr>
            <w:r w:rsidRPr="00202353">
              <w:rPr>
                <w:rFonts w:eastAsia="Times New Roman" w:cs="Times New Roman"/>
                <w:color w:val="FFFFFF" w:themeColor="background1"/>
                <w:lang w:eastAsia="fr-FR"/>
              </w:rPr>
              <w:t>Incitation à la dépense privée</w:t>
            </w:r>
          </w:p>
          <w:p w:rsidR="00A138B6" w:rsidRPr="00202353" w:rsidRDefault="00A138B6" w:rsidP="00DF3C83">
            <w:pPr>
              <w:autoSpaceDE w:val="0"/>
              <w:jc w:val="both"/>
              <w:rPr>
                <w:rFonts w:eastAsia="OpenSans" w:cs="OpenSans"/>
                <w:color w:val="FFFFFF" w:themeColor="background1"/>
              </w:rPr>
            </w:pPr>
            <w:r w:rsidRPr="00202353">
              <w:rPr>
                <w:rFonts w:eastAsia="Times New Roman" w:cs="Times New Roman"/>
                <w:color w:val="FFFFFF" w:themeColor="background1"/>
                <w:lang w:eastAsia="fr-FR"/>
              </w:rPr>
              <w:t>(I privé)</w:t>
            </w:r>
          </w:p>
        </w:tc>
        <w:tc>
          <w:tcPr>
            <w:tcW w:w="0" w:type="auto"/>
            <w:tcBorders>
              <w:left w:val="single" w:sz="4" w:space="0" w:color="auto"/>
              <w:right w:val="single" w:sz="4" w:space="0" w:color="auto"/>
            </w:tcBorders>
            <w:shd w:val="clear" w:color="auto" w:fill="auto"/>
            <w:vAlign w:val="center"/>
          </w:tcPr>
          <w:p w:rsidR="00A138B6" w:rsidRPr="00202353" w:rsidRDefault="00A138B6" w:rsidP="00DF3C83">
            <w:pPr>
              <w:jc w:val="both"/>
            </w:pPr>
            <w:r w:rsidRPr="00202353">
              <w:sym w:font="Wingdings" w:char="F0E8"/>
            </w:r>
          </w:p>
        </w:tc>
        <w:tc>
          <w:tcPr>
            <w:tcW w:w="0" w:type="auto"/>
            <w:vMerge/>
            <w:tcBorders>
              <w:left w:val="single" w:sz="4" w:space="0" w:color="auto"/>
              <w:bottom w:val="single" w:sz="4" w:space="0" w:color="auto"/>
              <w:right w:val="single" w:sz="4" w:space="0" w:color="auto"/>
            </w:tcBorders>
            <w:shd w:val="clear" w:color="auto" w:fill="auto"/>
            <w:vAlign w:val="center"/>
          </w:tcPr>
          <w:p w:rsidR="00A138B6" w:rsidRPr="00202353" w:rsidRDefault="00A138B6" w:rsidP="00DF3C83">
            <w:pPr>
              <w:autoSpaceDE w:val="0"/>
              <w:jc w:val="both"/>
              <w:rPr>
                <w:rFonts w:eastAsia="OpenSans" w:cs="OpenSans"/>
              </w:rPr>
            </w:pPr>
          </w:p>
        </w:tc>
        <w:tc>
          <w:tcPr>
            <w:tcW w:w="0" w:type="auto"/>
            <w:tcBorders>
              <w:left w:val="single" w:sz="4" w:space="0" w:color="auto"/>
            </w:tcBorders>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ind w:left="360"/>
              <w:jc w:val="both"/>
              <w:rPr>
                <w:rFonts w:eastAsia="OpenSans" w:cs="OpenSans"/>
                <w:color w:val="000003"/>
              </w:rPr>
            </w:pPr>
          </w:p>
        </w:tc>
        <w:tc>
          <w:tcPr>
            <w:tcW w:w="0" w:type="auto"/>
            <w:shd w:val="clear" w:color="auto" w:fill="auto"/>
            <w:vAlign w:val="center"/>
          </w:tcPr>
          <w:p w:rsidR="00A138B6" w:rsidRPr="00202353" w:rsidRDefault="00A138B6" w:rsidP="00DF3C83">
            <w:pPr>
              <w:autoSpaceDE w:val="0"/>
              <w:jc w:val="both"/>
              <w:rPr>
                <w:rFonts w:eastAsia="OpenSans" w:cs="OpenSans"/>
                <w:color w:val="000003"/>
              </w:rPr>
            </w:pPr>
          </w:p>
        </w:tc>
      </w:tr>
    </w:tbl>
    <w:p w:rsidR="00A138B6" w:rsidRPr="00202353" w:rsidRDefault="00A138B6" w:rsidP="00A138B6">
      <w:pPr>
        <w:autoSpaceDE w:val="0"/>
        <w:jc w:val="both"/>
        <w:rPr>
          <w:rFonts w:eastAsia="OpenSans" w:cs="OpenSans"/>
          <w:color w:val="000003"/>
        </w:rPr>
      </w:pPr>
    </w:p>
    <w:p w:rsidR="00A138B6" w:rsidRPr="00202353" w:rsidRDefault="00A138B6" w:rsidP="00A138B6">
      <w:pPr>
        <w:pStyle w:val="Sansinterligne"/>
        <w:jc w:val="both"/>
        <w:rPr>
          <w:lang w:eastAsia="fr-FR"/>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spacing w:after="0" w:line="240" w:lineRule="auto"/>
        <w:jc w:val="both"/>
        <w:rPr>
          <w:i/>
        </w:rPr>
      </w:pPr>
    </w:p>
    <w:p w:rsidR="00A138B6" w:rsidRDefault="00A138B6" w:rsidP="00A138B6">
      <w:pPr>
        <w:rPr>
          <w:rStyle w:val="Lienhypertexte"/>
        </w:rPr>
      </w:pPr>
      <w:r>
        <w:fldChar w:fldCharType="begin"/>
      </w:r>
      <w:r>
        <w:instrText xml:space="preserve"> HYPERLINK "https://cache.media.eduscol.education.fr/file/Annales_zero_BAC_2021_1e/32/0/S0BAC21-1e-SPE-SES-4_1127320.pdf" \l "page=1" \o "Page 1" </w:instrText>
      </w:r>
      <w:r>
        <w:fldChar w:fldCharType="separate"/>
      </w:r>
    </w:p>
    <w:p w:rsidR="00A138B6" w:rsidRDefault="00A138B6" w:rsidP="00A138B6">
      <w:pPr>
        <w:rPr>
          <w:rStyle w:val="Lienhypertexte"/>
        </w:rPr>
      </w:pPr>
      <w:r>
        <w:fldChar w:fldCharType="end"/>
      </w:r>
      <w:r>
        <w:fldChar w:fldCharType="begin"/>
      </w:r>
      <w:r>
        <w:instrText xml:space="preserve"> HYPERLINK "https://cache.media.eduscol.education.fr/file/Annales_zero_BAC_2021_1e/32/0/S0BAC21-1e-SPE-SES-4_1127320.pdf" \l "page=2" \o "Page 2" </w:instrText>
      </w:r>
      <w:r>
        <w:fldChar w:fldCharType="separate"/>
      </w:r>
    </w:p>
    <w:p w:rsidR="00A138B6" w:rsidRDefault="00A138B6" w:rsidP="00A138B6">
      <w:r>
        <w:fldChar w:fldCharType="end"/>
      </w: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Default="00A138B6" w:rsidP="00A138B6">
      <w:pPr>
        <w:rPr>
          <w:rFonts w:ascii="Arial" w:hAnsi="Arial" w:cs="Arial"/>
          <w:sz w:val="25"/>
          <w:szCs w:val="25"/>
        </w:rPr>
      </w:pPr>
    </w:p>
    <w:p w:rsidR="00A138B6" w:rsidRPr="00571D64" w:rsidRDefault="00A138B6" w:rsidP="00A138B6">
      <w:pPr>
        <w:rPr>
          <w:rFonts w:ascii="Arial" w:hAnsi="Arial" w:cs="Arial"/>
          <w:sz w:val="25"/>
          <w:szCs w:val="25"/>
        </w:rPr>
      </w:pPr>
    </w:p>
    <w:p w:rsidR="00A138B6" w:rsidRPr="00571D64" w:rsidRDefault="00A138B6" w:rsidP="00A138B6">
      <w:pPr>
        <w:pStyle w:val="Sansinterligne"/>
        <w:jc w:val="center"/>
        <w:rPr>
          <w:rFonts w:ascii="Arial" w:hAnsi="Arial" w:cs="Arial"/>
          <w:b/>
          <w:sz w:val="24"/>
          <w:szCs w:val="24"/>
        </w:rPr>
      </w:pPr>
      <w:r w:rsidRPr="00571D64">
        <w:rPr>
          <w:rFonts w:ascii="Arial" w:hAnsi="Arial" w:cs="Arial"/>
          <w:b/>
          <w:sz w:val="24"/>
          <w:szCs w:val="24"/>
        </w:rPr>
        <w:lastRenderedPageBreak/>
        <w:t>Épreuve commune de contrôle continu</w:t>
      </w:r>
    </w:p>
    <w:p w:rsidR="00A138B6" w:rsidRPr="00571D64" w:rsidRDefault="00A138B6" w:rsidP="00A138B6">
      <w:pPr>
        <w:pStyle w:val="Sansinterligne"/>
        <w:jc w:val="center"/>
        <w:rPr>
          <w:rFonts w:ascii="Arial" w:hAnsi="Arial" w:cs="Arial"/>
          <w:b/>
          <w:sz w:val="24"/>
          <w:szCs w:val="24"/>
        </w:rPr>
      </w:pPr>
      <w:r w:rsidRPr="00571D64">
        <w:rPr>
          <w:rFonts w:ascii="Arial" w:hAnsi="Arial" w:cs="Arial"/>
          <w:b/>
          <w:sz w:val="24"/>
          <w:szCs w:val="24"/>
        </w:rPr>
        <w:t>------</w:t>
      </w:r>
    </w:p>
    <w:p w:rsidR="00A138B6" w:rsidRPr="00571D64" w:rsidRDefault="00A138B6" w:rsidP="00A138B6">
      <w:pPr>
        <w:pStyle w:val="Sansinterligne"/>
        <w:jc w:val="center"/>
        <w:rPr>
          <w:rFonts w:ascii="Arial" w:hAnsi="Arial" w:cs="Arial"/>
          <w:b/>
          <w:sz w:val="24"/>
          <w:szCs w:val="24"/>
        </w:rPr>
      </w:pPr>
      <w:r w:rsidRPr="00571D64">
        <w:rPr>
          <w:rFonts w:ascii="Arial" w:hAnsi="Arial" w:cs="Arial"/>
          <w:b/>
          <w:sz w:val="24"/>
          <w:szCs w:val="24"/>
        </w:rPr>
        <w:t>Sciences économiques et sociales</w:t>
      </w:r>
    </w:p>
    <w:p w:rsidR="00A138B6" w:rsidRPr="002F4EE2" w:rsidRDefault="00A138B6" w:rsidP="00A138B6">
      <w:pPr>
        <w:pStyle w:val="Sansinterligne"/>
        <w:jc w:val="center"/>
        <w:rPr>
          <w:rFonts w:ascii="Arial" w:hAnsi="Arial" w:cs="Arial"/>
        </w:rPr>
      </w:pPr>
      <w:r w:rsidRPr="002F4EE2">
        <w:rPr>
          <w:rFonts w:ascii="Arial" w:hAnsi="Arial" w:cs="Arial"/>
        </w:rPr>
        <w:t>L’usage de la calculatrice est strictement interdit.</w:t>
      </w:r>
    </w:p>
    <w:p w:rsidR="00A138B6" w:rsidRPr="002F4EE2" w:rsidRDefault="00A138B6" w:rsidP="00A138B6">
      <w:pPr>
        <w:pStyle w:val="Sansinterligne"/>
        <w:jc w:val="center"/>
        <w:rPr>
          <w:rFonts w:ascii="Arial" w:hAnsi="Arial" w:cs="Arial"/>
          <w:sz w:val="16"/>
          <w:szCs w:val="16"/>
        </w:rPr>
      </w:pPr>
    </w:p>
    <w:tbl>
      <w:tblPr>
        <w:tblStyle w:val="Grilledutableau"/>
        <w:tblW w:w="5000" w:type="pct"/>
        <w:tblLook w:val="04A0" w:firstRow="1" w:lastRow="0" w:firstColumn="1" w:lastColumn="0" w:noHBand="0" w:noVBand="1"/>
      </w:tblPr>
      <w:tblGrid>
        <w:gridCol w:w="9854"/>
      </w:tblGrid>
      <w:tr w:rsidR="00A138B6" w:rsidRPr="00571D64" w:rsidTr="00DF3C83">
        <w:trPr>
          <w:trHeight w:val="2831"/>
        </w:trPr>
        <w:tc>
          <w:tcPr>
            <w:tcW w:w="5000" w:type="pct"/>
          </w:tcPr>
          <w:p w:rsidR="00A138B6" w:rsidRPr="00571D64" w:rsidRDefault="00A138B6" w:rsidP="00DF3C83">
            <w:pPr>
              <w:jc w:val="both"/>
              <w:rPr>
                <w:rStyle w:val="Accentuation"/>
                <w:rFonts w:ascii="Arial" w:hAnsi="Arial" w:cs="Arial"/>
              </w:rPr>
            </w:pPr>
            <w:r w:rsidRPr="00571D64">
              <w:rPr>
                <w:rStyle w:val="Accentuation"/>
                <w:rFonts w:ascii="Arial" w:hAnsi="Arial" w:cs="Arial"/>
              </w:rPr>
              <w:t>Cette épreuve comprend deux parties :</w:t>
            </w:r>
          </w:p>
          <w:p w:rsidR="00A138B6" w:rsidRPr="00571D64" w:rsidRDefault="00A138B6" w:rsidP="00DF3C83">
            <w:pPr>
              <w:jc w:val="both"/>
              <w:rPr>
                <w:rStyle w:val="Accentuation"/>
                <w:rFonts w:ascii="Arial" w:hAnsi="Arial" w:cs="Arial"/>
                <w:sz w:val="16"/>
                <w:szCs w:val="16"/>
              </w:rPr>
            </w:pPr>
          </w:p>
          <w:p w:rsidR="00A138B6" w:rsidRPr="00571D64" w:rsidRDefault="00A138B6" w:rsidP="00DF3C83">
            <w:pPr>
              <w:jc w:val="both"/>
              <w:rPr>
                <w:rStyle w:val="Accentuation"/>
                <w:rFonts w:ascii="Arial" w:hAnsi="Arial" w:cs="Arial"/>
              </w:rPr>
            </w:pPr>
            <w:r w:rsidRPr="00571D64">
              <w:rPr>
                <w:rStyle w:val="Accentuation"/>
                <w:rFonts w:ascii="Arial" w:hAnsi="Arial" w:cs="Arial"/>
              </w:rPr>
              <w:t>- Première partie(Mobilisation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p w:rsidR="00A138B6" w:rsidRPr="00571D64" w:rsidRDefault="00A138B6" w:rsidP="00DF3C83">
            <w:pPr>
              <w:jc w:val="both"/>
              <w:rPr>
                <w:rStyle w:val="Accentuation"/>
                <w:rFonts w:ascii="Arial" w:hAnsi="Arial" w:cs="Arial"/>
                <w:sz w:val="16"/>
                <w:szCs w:val="16"/>
              </w:rPr>
            </w:pPr>
          </w:p>
          <w:p w:rsidR="00A138B6" w:rsidRPr="00571D64" w:rsidRDefault="00A138B6" w:rsidP="00DF3C83">
            <w:pPr>
              <w:jc w:val="both"/>
              <w:rPr>
                <w:rStyle w:val="Accentuation"/>
                <w:rFonts w:ascii="Arial" w:hAnsi="Arial" w:cs="Arial"/>
              </w:rPr>
            </w:pPr>
            <w:r w:rsidRPr="00571D64">
              <w:rPr>
                <w:rStyle w:val="Accentuation"/>
                <w:rFonts w:ascii="Arial" w:hAnsi="Arial" w:cs="Arial"/>
              </w:rPr>
              <w:t>- Seconde partie (Raisonnement appuyé sur un dossier documentaire), il est demandé au candidat de traiter le sujet en développant un raisonnement de l’ordre d’une page, en exploitant les documents du dossier et en mobilisant ses connaissances.</w:t>
            </w:r>
          </w:p>
          <w:p w:rsidR="00A138B6" w:rsidRPr="00571D64" w:rsidRDefault="00A138B6" w:rsidP="00DF3C83">
            <w:pPr>
              <w:jc w:val="both"/>
              <w:rPr>
                <w:rStyle w:val="Accentuation"/>
                <w:rFonts w:ascii="Arial" w:hAnsi="Arial" w:cs="Arial"/>
                <w:sz w:val="16"/>
                <w:szCs w:val="16"/>
              </w:rPr>
            </w:pPr>
          </w:p>
          <w:p w:rsidR="00A138B6" w:rsidRPr="00571D64" w:rsidRDefault="00A138B6" w:rsidP="00DF3C83">
            <w:pPr>
              <w:jc w:val="both"/>
              <w:rPr>
                <w:rFonts w:ascii="Arial" w:hAnsi="Arial" w:cs="Arial"/>
              </w:rPr>
            </w:pPr>
            <w:r w:rsidRPr="00571D64">
              <w:rPr>
                <w:rStyle w:val="Accentuation"/>
                <w:rFonts w:ascii="Arial" w:hAnsi="Arial" w:cs="Arial"/>
              </w:rPr>
              <w:t>Il sera tenu compte, dans la notation, de la clarté de l’expression et du soin apporté à la présentation.</w:t>
            </w:r>
          </w:p>
        </w:tc>
      </w:tr>
    </w:tbl>
    <w:p w:rsidR="00A138B6" w:rsidRPr="002F4EE2" w:rsidRDefault="00A138B6" w:rsidP="00A138B6">
      <w:pPr>
        <w:pStyle w:val="Sansinterligne"/>
        <w:jc w:val="both"/>
        <w:rPr>
          <w:rFonts w:ascii="Arial" w:hAnsi="Arial" w:cs="Arial"/>
          <w:sz w:val="16"/>
          <w:szCs w:val="16"/>
        </w:rPr>
      </w:pPr>
    </w:p>
    <w:p w:rsidR="00A138B6" w:rsidRPr="002F4EE2" w:rsidRDefault="00A138B6" w:rsidP="00A138B6">
      <w:pPr>
        <w:pStyle w:val="Sansinterligne"/>
        <w:jc w:val="both"/>
        <w:rPr>
          <w:rFonts w:ascii="Arial" w:hAnsi="Arial" w:cs="Arial"/>
          <w:b/>
        </w:rPr>
      </w:pPr>
      <w:r w:rsidRPr="002F4EE2">
        <w:rPr>
          <w:rFonts w:ascii="Arial" w:hAnsi="Arial" w:cs="Arial"/>
          <w:b/>
        </w:rPr>
        <w:t>Première partie: Mobilisation de connaissances et traitement de l’information (10 points)</w:t>
      </w:r>
    </w:p>
    <w:p w:rsidR="00A138B6" w:rsidRPr="002F4EE2" w:rsidRDefault="00A138B6" w:rsidP="00A138B6">
      <w:pPr>
        <w:pStyle w:val="Sansinterligne"/>
        <w:jc w:val="both"/>
        <w:rPr>
          <w:rFonts w:ascii="Arial" w:hAnsi="Arial" w:cs="Arial"/>
          <w:b/>
          <w:sz w:val="16"/>
          <w:szCs w:val="16"/>
        </w:rPr>
      </w:pPr>
    </w:p>
    <w:p w:rsidR="00A138B6" w:rsidRPr="002F4EE2" w:rsidRDefault="00A138B6" w:rsidP="00A138B6">
      <w:pPr>
        <w:pStyle w:val="Sansinterligne"/>
        <w:jc w:val="both"/>
        <w:rPr>
          <w:rFonts w:ascii="Arial" w:hAnsi="Arial" w:cs="Arial"/>
          <w:b/>
        </w:rPr>
      </w:pPr>
      <w:r w:rsidRPr="002F4EE2">
        <w:rPr>
          <w:rFonts w:ascii="Arial" w:hAnsi="Arial" w:cs="Arial"/>
          <w:b/>
        </w:rPr>
        <w:t xml:space="preserve">Document : </w:t>
      </w:r>
      <w:r w:rsidRPr="002F4EE2">
        <w:rPr>
          <w:rFonts w:ascii="Arial" w:eastAsia="Times New Roman" w:hAnsi="Arial" w:cs="Arial"/>
          <w:b/>
          <w:bCs/>
          <w:lang w:eastAsia="fr-FR"/>
        </w:rPr>
        <w:t xml:space="preserve">Dépenses et recettes publiques </w:t>
      </w:r>
    </w:p>
    <w:p w:rsidR="00A138B6" w:rsidRPr="002F4EE2" w:rsidRDefault="00A138B6" w:rsidP="00A138B6">
      <w:pPr>
        <w:spacing w:after="0" w:line="240" w:lineRule="auto"/>
        <w:jc w:val="center"/>
        <w:rPr>
          <w:rFonts w:ascii="Arial" w:hAnsi="Arial" w:cs="Arial"/>
          <w:i/>
        </w:rPr>
      </w:pPr>
      <w:r w:rsidRPr="002F4EE2">
        <w:rPr>
          <w:rFonts w:ascii="Arial" w:eastAsia="Times New Roman" w:hAnsi="Arial" w:cs="Arial"/>
          <w:b/>
          <w:noProof/>
          <w:lang w:eastAsia="fr-FR"/>
        </w:rPr>
        <w:drawing>
          <wp:inline distT="0" distB="0" distL="0" distR="0" wp14:anchorId="429D7A33" wp14:editId="2E65D9E2">
            <wp:extent cx="4762800" cy="476280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srcRect/>
                    <a:stretch>
                      <a:fillRect/>
                    </a:stretch>
                  </pic:blipFill>
                  <pic:spPr bwMode="auto">
                    <a:xfrm>
                      <a:off x="0" y="0"/>
                      <a:ext cx="4762800" cy="4762800"/>
                    </a:xfrm>
                    <a:prstGeom prst="rect">
                      <a:avLst/>
                    </a:prstGeom>
                    <a:noFill/>
                    <a:ln w="9525">
                      <a:noFill/>
                      <a:miter lim="800000"/>
                      <a:headEnd/>
                      <a:tailEnd/>
                    </a:ln>
                  </pic:spPr>
                </pic:pic>
              </a:graphicData>
            </a:graphic>
          </wp:inline>
        </w:drawing>
      </w:r>
    </w:p>
    <w:p w:rsidR="00A138B6" w:rsidRPr="002F4EE2" w:rsidRDefault="00A138B6" w:rsidP="00A138B6">
      <w:pPr>
        <w:pStyle w:val="Sansinterligne"/>
        <w:jc w:val="both"/>
        <w:rPr>
          <w:rFonts w:ascii="Arial" w:hAnsi="Arial" w:cs="Arial"/>
          <w:lang w:eastAsia="fr-FR"/>
        </w:rPr>
      </w:pPr>
      <w:r w:rsidRPr="002F4EE2">
        <w:rPr>
          <w:rFonts w:ascii="Arial" w:hAnsi="Arial" w:cs="Arial"/>
          <w:lang w:eastAsia="fr-FR"/>
        </w:rPr>
        <w:t xml:space="preserve">Champ : France. </w:t>
      </w:r>
    </w:p>
    <w:p w:rsidR="00A138B6" w:rsidRPr="002F4EE2" w:rsidRDefault="00A138B6" w:rsidP="00A138B6">
      <w:pPr>
        <w:pStyle w:val="Sansinterligne"/>
        <w:jc w:val="right"/>
        <w:rPr>
          <w:rFonts w:ascii="Arial" w:hAnsi="Arial" w:cs="Arial"/>
          <w:lang w:eastAsia="fr-FR"/>
        </w:rPr>
      </w:pPr>
      <w:r w:rsidRPr="002F4EE2">
        <w:rPr>
          <w:rFonts w:ascii="Arial" w:hAnsi="Arial" w:cs="Arial"/>
          <w:i/>
          <w:iCs/>
          <w:lang w:eastAsia="fr-FR"/>
        </w:rPr>
        <w:t>Source : Insee, comptes nationaux - base 2014.</w:t>
      </w:r>
      <w:r w:rsidRPr="002F4EE2">
        <w:rPr>
          <w:rFonts w:ascii="Arial" w:hAnsi="Arial" w:cs="Arial"/>
          <w:lang w:eastAsia="fr-FR"/>
        </w:rPr>
        <w:t xml:space="preserve"> </w:t>
      </w:r>
    </w:p>
    <w:p w:rsidR="00A138B6" w:rsidRPr="002F4EE2" w:rsidRDefault="00A138B6" w:rsidP="00A138B6">
      <w:pPr>
        <w:pStyle w:val="Sansinterligne"/>
        <w:jc w:val="both"/>
        <w:rPr>
          <w:rFonts w:ascii="Arial" w:hAnsi="Arial" w:cs="Arial"/>
          <w:b/>
          <w:lang w:eastAsia="fr-FR"/>
        </w:rPr>
      </w:pPr>
      <w:r w:rsidRPr="002F4EE2">
        <w:rPr>
          <w:rFonts w:ascii="Arial" w:hAnsi="Arial" w:cs="Arial"/>
          <w:b/>
          <w:lang w:eastAsia="fr-FR"/>
        </w:rPr>
        <w:t>Questions</w:t>
      </w:r>
    </w:p>
    <w:p w:rsidR="00A138B6" w:rsidRPr="002F4EE2" w:rsidRDefault="00A138B6" w:rsidP="00A138B6">
      <w:pPr>
        <w:pStyle w:val="Sansinterligne"/>
        <w:numPr>
          <w:ilvl w:val="0"/>
          <w:numId w:val="15"/>
        </w:numPr>
        <w:jc w:val="both"/>
        <w:rPr>
          <w:rFonts w:ascii="Arial" w:eastAsia="OpenSans" w:hAnsi="Arial" w:cs="Arial"/>
          <w:color w:val="000003"/>
        </w:rPr>
      </w:pPr>
      <w:r w:rsidRPr="002F4EE2">
        <w:rPr>
          <w:rFonts w:ascii="Arial" w:eastAsia="OpenSans" w:hAnsi="Arial" w:cs="Arial"/>
          <w:color w:val="000003"/>
        </w:rPr>
        <w:t>Expliquez à  quoi correspond l’écart entre les deux courbes ?</w:t>
      </w:r>
    </w:p>
    <w:p w:rsidR="00A138B6" w:rsidRPr="002F4EE2" w:rsidRDefault="00A138B6" w:rsidP="00A138B6">
      <w:pPr>
        <w:pStyle w:val="Sansinterligne"/>
        <w:numPr>
          <w:ilvl w:val="0"/>
          <w:numId w:val="15"/>
        </w:numPr>
        <w:jc w:val="both"/>
        <w:rPr>
          <w:rFonts w:ascii="Arial" w:eastAsia="OpenSans" w:hAnsi="Arial" w:cs="Arial"/>
          <w:color w:val="000003"/>
        </w:rPr>
      </w:pPr>
      <w:r w:rsidRPr="002F4EE2">
        <w:rPr>
          <w:rFonts w:ascii="Arial" w:eastAsia="OpenSans" w:hAnsi="Arial" w:cs="Arial"/>
          <w:color w:val="000003"/>
        </w:rPr>
        <w:t>Présentez le solde budgétaire des administrations publiques pour l’année 2018.</w:t>
      </w:r>
    </w:p>
    <w:p w:rsidR="00A138B6" w:rsidRPr="00571D64" w:rsidRDefault="00A138B6" w:rsidP="00A138B6">
      <w:pPr>
        <w:pStyle w:val="Sansinterligne"/>
        <w:numPr>
          <w:ilvl w:val="0"/>
          <w:numId w:val="15"/>
        </w:numPr>
        <w:jc w:val="both"/>
        <w:rPr>
          <w:rFonts w:ascii="Arial" w:eastAsia="OpenSans" w:hAnsi="Arial" w:cs="Arial"/>
          <w:color w:val="000003"/>
          <w:sz w:val="24"/>
          <w:szCs w:val="24"/>
        </w:rPr>
      </w:pPr>
      <w:r w:rsidRPr="002F4EE2">
        <w:rPr>
          <w:rFonts w:ascii="Arial" w:eastAsia="OpenSans" w:hAnsi="Arial" w:cs="Arial"/>
          <w:color w:val="000003"/>
        </w:rPr>
        <w:t>A l’aide du document vous comparerez l’évolution des recettes et des dépenses entre 1975 et 2018</w:t>
      </w:r>
    </w:p>
    <w:p w:rsidR="00A138B6" w:rsidRPr="002F4EE2" w:rsidRDefault="00A138B6" w:rsidP="00A138B6">
      <w:pPr>
        <w:pStyle w:val="Sansinterligne"/>
        <w:jc w:val="both"/>
        <w:rPr>
          <w:rFonts w:ascii="Arial" w:hAnsi="Arial" w:cs="Arial"/>
          <w:b/>
        </w:rPr>
      </w:pPr>
      <w:r w:rsidRPr="002F4EE2">
        <w:rPr>
          <w:rFonts w:ascii="Arial" w:hAnsi="Arial" w:cs="Arial"/>
          <w:b/>
        </w:rPr>
        <w:lastRenderedPageBreak/>
        <w:t>Seconde partie: Raisonnement appuyé sur un dossier documentaire (10 points)</w:t>
      </w:r>
    </w:p>
    <w:p w:rsidR="00A138B6" w:rsidRPr="002F4EE2" w:rsidRDefault="00A138B6" w:rsidP="00A138B6">
      <w:pPr>
        <w:pStyle w:val="Sansinterligne"/>
        <w:jc w:val="both"/>
        <w:rPr>
          <w:rFonts w:ascii="Arial" w:hAnsi="Arial" w:cs="Arial"/>
          <w:b/>
        </w:rPr>
      </w:pPr>
    </w:p>
    <w:p w:rsidR="00A138B6" w:rsidRPr="002F4EE2" w:rsidRDefault="00A138B6" w:rsidP="00A138B6">
      <w:pPr>
        <w:pStyle w:val="Sansinterligne"/>
        <w:jc w:val="both"/>
        <w:rPr>
          <w:rFonts w:ascii="Arial" w:hAnsi="Arial" w:cs="Arial"/>
        </w:rPr>
      </w:pPr>
      <w:r w:rsidRPr="002F4EE2">
        <w:rPr>
          <w:rFonts w:ascii="Arial" w:hAnsi="Arial" w:cs="Arial"/>
          <w:b/>
        </w:rPr>
        <w:t>Sujet :</w:t>
      </w:r>
      <w:r w:rsidRPr="002F4EE2">
        <w:rPr>
          <w:rFonts w:ascii="Arial" w:hAnsi="Arial" w:cs="Arial"/>
        </w:rPr>
        <w:t xml:space="preserve"> À l’aide du dossier documentaire et de vos connaissances, vous montrerez que les dépenses publiques à des fins de relance de l'activité économique à court terme est susceptible d'exercer un impact favorable sur la croissance économique.</w:t>
      </w:r>
    </w:p>
    <w:p w:rsidR="00A138B6" w:rsidRPr="002F4EE2" w:rsidRDefault="00A138B6" w:rsidP="00A138B6">
      <w:pPr>
        <w:pStyle w:val="Sansinterligne"/>
        <w:rPr>
          <w:rFonts w:ascii="Arial" w:hAnsi="Arial" w:cs="Arial"/>
        </w:rPr>
      </w:pPr>
    </w:p>
    <w:p w:rsidR="00A138B6" w:rsidRPr="002F4EE2" w:rsidRDefault="00A138B6" w:rsidP="00A138B6">
      <w:pPr>
        <w:pStyle w:val="Sansinterligne"/>
        <w:rPr>
          <w:rFonts w:ascii="Arial" w:hAnsi="Arial" w:cs="Arial"/>
          <w:b/>
        </w:rPr>
      </w:pPr>
      <w:r w:rsidRPr="002F4EE2">
        <w:rPr>
          <w:rFonts w:ascii="Arial" w:hAnsi="Arial" w:cs="Arial"/>
          <w:b/>
        </w:rPr>
        <w:t>Document 1</w:t>
      </w:r>
    </w:p>
    <w:p w:rsidR="00A138B6" w:rsidRPr="002F4EE2" w:rsidRDefault="00A138B6" w:rsidP="00A138B6">
      <w:pPr>
        <w:pStyle w:val="Sansinterligne"/>
        <w:jc w:val="both"/>
        <w:rPr>
          <w:rFonts w:ascii="Arial" w:hAnsi="Arial" w:cs="Arial"/>
        </w:rPr>
      </w:pPr>
      <w:r w:rsidRPr="002F4EE2">
        <w:rPr>
          <w:rFonts w:ascii="Arial" w:hAnsi="Arial" w:cs="Arial"/>
        </w:rPr>
        <w:t>[L’] expérience de la crise de 1929, a donné un écho particulier aux analyses de John Maynard Keynes (1883-1946). D’après lui, les mécanismes d’auto-ajustement du marché ne conduisent pas forcément à une allocation optimale des ressources. Ainsi, dans des économies caractérisées par la rigidité des prix et par l’incertitude, le seul fonctionnement des marchés peut, sous l’effet des anticipations pessimistes des consommateurs et des entreprises, conduire durablement à un chômage élevé. Il incombe alors à l’État de soutenir la croissance, stimuler l’économie afin de parvenir au plein-emploi, notamment par des politiques conjoncturelles de relance de la demande et en engageant des dépenses publiques supplémentaires.</w:t>
      </w:r>
    </w:p>
    <w:p w:rsidR="00A138B6" w:rsidRPr="002F4EE2" w:rsidRDefault="00A138B6" w:rsidP="00A138B6">
      <w:pPr>
        <w:pStyle w:val="Sansinterligne"/>
        <w:jc w:val="right"/>
        <w:rPr>
          <w:rFonts w:ascii="Arial" w:eastAsia="Times New Roman" w:hAnsi="Arial" w:cs="Arial"/>
          <w:lang w:eastAsia="fr-FR"/>
        </w:rPr>
      </w:pPr>
      <w:r w:rsidRPr="002F4EE2">
        <w:rPr>
          <w:rFonts w:ascii="Arial" w:eastAsia="Times New Roman" w:hAnsi="Arial" w:cs="Arial"/>
          <w:bCs/>
          <w:kern w:val="36"/>
          <w:lang w:eastAsia="fr-FR"/>
        </w:rPr>
        <w:t xml:space="preserve">Source : « Le rôle économique de l’État », </w:t>
      </w:r>
      <w:r w:rsidRPr="002F4EE2">
        <w:rPr>
          <w:rFonts w:ascii="Arial" w:eastAsia="Times New Roman" w:hAnsi="Arial" w:cs="Arial"/>
          <w:lang w:eastAsia="fr-FR"/>
        </w:rPr>
        <w:t xml:space="preserve">30 mai 2006, </w:t>
      </w:r>
      <w:hyperlink r:id="rId16" w:history="1">
        <w:r w:rsidRPr="002F4EE2">
          <w:rPr>
            <w:rStyle w:val="Lienhypertexte"/>
            <w:rFonts w:ascii="Arial" w:eastAsia="Times New Roman" w:hAnsi="Arial" w:cs="Arial"/>
            <w:lang w:eastAsia="fr-FR"/>
          </w:rPr>
          <w:t>https://www.vie-publique.fr/decouverte-institutions/finances-publiques/approfondissements/role-economique-etat.html</w:t>
        </w:r>
      </w:hyperlink>
    </w:p>
    <w:p w:rsidR="00A138B6" w:rsidRPr="002F4EE2" w:rsidRDefault="00A138B6" w:rsidP="00A138B6">
      <w:pPr>
        <w:pStyle w:val="Sansinterligne"/>
        <w:rPr>
          <w:rFonts w:ascii="Arial" w:hAnsi="Arial" w:cs="Arial"/>
        </w:rPr>
      </w:pPr>
    </w:p>
    <w:p w:rsidR="00A138B6" w:rsidRPr="002F4EE2" w:rsidRDefault="00A138B6" w:rsidP="00A138B6">
      <w:pPr>
        <w:pStyle w:val="Titre3"/>
        <w:rPr>
          <w:rFonts w:ascii="Arial" w:hAnsi="Arial" w:cs="Arial"/>
          <w:color w:val="auto"/>
        </w:rPr>
      </w:pPr>
      <w:r w:rsidRPr="002F4EE2">
        <w:rPr>
          <w:rFonts w:ascii="Arial" w:hAnsi="Arial" w:cs="Arial"/>
          <w:color w:val="auto"/>
        </w:rPr>
        <w:t xml:space="preserve">Document 2. Contribution des principaux agrégats à la croissance du PIB </w:t>
      </w:r>
    </w:p>
    <w:p w:rsidR="00A138B6" w:rsidRPr="002F4EE2" w:rsidRDefault="00A138B6" w:rsidP="00A138B6">
      <w:pPr>
        <w:pStyle w:val="Sansinterligne"/>
        <w:jc w:val="both"/>
        <w:rPr>
          <w:rFonts w:ascii="Arial" w:hAnsi="Arial" w:cs="Arial"/>
          <w:i/>
        </w:rPr>
      </w:pPr>
      <w:r w:rsidRPr="002F4EE2">
        <w:rPr>
          <w:rFonts w:ascii="Arial" w:hAnsi="Arial" w:cs="Arial"/>
          <w:noProof/>
          <w:lang w:eastAsia="fr-FR"/>
        </w:rPr>
        <w:drawing>
          <wp:inline distT="0" distB="0" distL="0" distR="0" wp14:anchorId="67A4E453" wp14:editId="3BD832D2">
            <wp:extent cx="6152400" cy="4888800"/>
            <wp:effectExtent l="0" t="0" r="127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400" cy="4888800"/>
                    </a:xfrm>
                    <a:prstGeom prst="rect">
                      <a:avLst/>
                    </a:prstGeom>
                  </pic:spPr>
                </pic:pic>
              </a:graphicData>
            </a:graphic>
          </wp:inline>
        </w:drawing>
      </w:r>
    </w:p>
    <w:p w:rsidR="00A138B6" w:rsidRPr="002F4EE2" w:rsidRDefault="00A138B6" w:rsidP="00A138B6">
      <w:pPr>
        <w:pStyle w:val="Sansinterligne"/>
        <w:rPr>
          <w:rFonts w:ascii="Arial" w:hAnsi="Arial" w:cs="Arial"/>
          <w:lang w:eastAsia="fr-FR"/>
        </w:rPr>
      </w:pPr>
      <w:r w:rsidRPr="002F4EE2">
        <w:rPr>
          <w:rFonts w:ascii="Arial" w:hAnsi="Arial" w:cs="Arial"/>
          <w:lang w:eastAsia="fr-FR"/>
        </w:rPr>
        <w:t>1. Y compris institutions sans but lucratif au service des ménages.</w:t>
      </w:r>
    </w:p>
    <w:p w:rsidR="00A138B6" w:rsidRPr="002F4EE2" w:rsidRDefault="00A138B6" w:rsidP="00A138B6">
      <w:pPr>
        <w:pStyle w:val="Sansinterligne"/>
        <w:rPr>
          <w:rFonts w:ascii="Arial" w:hAnsi="Arial" w:cs="Arial"/>
          <w:lang w:eastAsia="fr-FR"/>
        </w:rPr>
      </w:pPr>
      <w:r w:rsidRPr="002F4EE2">
        <w:rPr>
          <w:rFonts w:ascii="Arial" w:hAnsi="Arial" w:cs="Arial"/>
          <w:lang w:eastAsia="fr-FR"/>
        </w:rPr>
        <w:t>Champ : France.</w:t>
      </w:r>
    </w:p>
    <w:p w:rsidR="00A138B6" w:rsidRPr="00505A12" w:rsidRDefault="00A138B6" w:rsidP="00A138B6">
      <w:pPr>
        <w:pStyle w:val="Sansinterligne"/>
        <w:jc w:val="right"/>
        <w:rPr>
          <w:rFonts w:ascii="Arial" w:hAnsi="Arial" w:cs="Arial"/>
        </w:rPr>
      </w:pPr>
      <w:r w:rsidRPr="002F4EE2">
        <w:rPr>
          <w:rFonts w:ascii="Arial" w:hAnsi="Arial" w:cs="Arial"/>
          <w:i/>
          <w:iCs/>
          <w:lang w:eastAsia="fr-FR"/>
        </w:rPr>
        <w:t xml:space="preserve">Source : Insee, comptes nationaux, base 2014 in </w:t>
      </w:r>
      <w:r w:rsidRPr="002F4EE2">
        <w:rPr>
          <w:rFonts w:ascii="Arial" w:hAnsi="Arial" w:cs="Arial"/>
        </w:rPr>
        <w:t xml:space="preserve">L'économie française - Comptes et dossiers, </w:t>
      </w:r>
      <w:r w:rsidRPr="002F4EE2">
        <w:rPr>
          <w:rStyle w:val="sous-titre"/>
          <w:rFonts w:ascii="Arial" w:hAnsi="Arial" w:cs="Arial"/>
        </w:rPr>
        <w:t xml:space="preserve">Édition 2019, </w:t>
      </w:r>
      <w:hyperlink r:id="rId18" w:history="1">
        <w:r w:rsidRPr="002F4EE2">
          <w:rPr>
            <w:rStyle w:val="Lienhypertexte"/>
            <w:rFonts w:ascii="Arial" w:hAnsi="Arial" w:cs="Arial"/>
          </w:rPr>
          <w:t>https://www.insee.fr/fr/statistiques/4174895?sommaire=4180914&amp;q=Contribution+%C3%A0%20la+croissance+du+PIB</w:t>
        </w:r>
      </w:hyperlink>
    </w:p>
    <w:p w:rsidR="005F66DC" w:rsidRPr="00A138B6" w:rsidRDefault="005F66DC" w:rsidP="00A138B6"/>
    <w:sectPr w:rsidR="005F66DC" w:rsidRPr="00A138B6" w:rsidSect="00F153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E4B"/>
    <w:multiLevelType w:val="hybridMultilevel"/>
    <w:tmpl w:val="CDE0A1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E91CBD"/>
    <w:multiLevelType w:val="multilevel"/>
    <w:tmpl w:val="AAD2AF2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6D03E0"/>
    <w:multiLevelType w:val="hybridMultilevel"/>
    <w:tmpl w:val="3A285A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2B0A4B"/>
    <w:multiLevelType w:val="hybridMultilevel"/>
    <w:tmpl w:val="4EE644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796F94"/>
    <w:multiLevelType w:val="hybridMultilevel"/>
    <w:tmpl w:val="7E4EF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7F0CAE"/>
    <w:multiLevelType w:val="hybridMultilevel"/>
    <w:tmpl w:val="422012E8"/>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7660CE4"/>
    <w:multiLevelType w:val="hybridMultilevel"/>
    <w:tmpl w:val="4EE644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B84183"/>
    <w:multiLevelType w:val="multilevel"/>
    <w:tmpl w:val="03C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A6322"/>
    <w:multiLevelType w:val="multilevel"/>
    <w:tmpl w:val="B91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211DA"/>
    <w:multiLevelType w:val="multilevel"/>
    <w:tmpl w:val="6D84CC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C8D7B98"/>
    <w:multiLevelType w:val="hybridMultilevel"/>
    <w:tmpl w:val="80245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ED0CED"/>
    <w:multiLevelType w:val="hybridMultilevel"/>
    <w:tmpl w:val="7472D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68751AA"/>
    <w:multiLevelType w:val="hybridMultilevel"/>
    <w:tmpl w:val="0A5A7F76"/>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59031388"/>
    <w:multiLevelType w:val="hybridMultilevel"/>
    <w:tmpl w:val="3A285A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7944DF"/>
    <w:multiLevelType w:val="hybridMultilevel"/>
    <w:tmpl w:val="17D6D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2F6ACE"/>
    <w:multiLevelType w:val="hybridMultilevel"/>
    <w:tmpl w:val="7ADA7242"/>
    <w:lvl w:ilvl="0" w:tplc="FB546BB4">
      <w:start w:val="1"/>
      <w:numFmt w:val="low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3332CC"/>
    <w:multiLevelType w:val="hybridMultilevel"/>
    <w:tmpl w:val="4EE644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AD6F57"/>
    <w:multiLevelType w:val="hybridMultilevel"/>
    <w:tmpl w:val="FA5681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050369"/>
    <w:multiLevelType w:val="hybridMultilevel"/>
    <w:tmpl w:val="4A42363A"/>
    <w:lvl w:ilvl="0" w:tplc="7CE4A5A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E14ECC"/>
    <w:multiLevelType w:val="hybridMultilevel"/>
    <w:tmpl w:val="5AEA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9045B3"/>
    <w:multiLevelType w:val="hybridMultilevel"/>
    <w:tmpl w:val="7F9CEC42"/>
    <w:lvl w:ilvl="0" w:tplc="16540156">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13"/>
  </w:num>
  <w:num w:numId="5">
    <w:abstractNumId w:val="5"/>
  </w:num>
  <w:num w:numId="6">
    <w:abstractNumId w:val="0"/>
  </w:num>
  <w:num w:numId="7">
    <w:abstractNumId w:val="3"/>
  </w:num>
  <w:num w:numId="8">
    <w:abstractNumId w:val="15"/>
  </w:num>
  <w:num w:numId="9">
    <w:abstractNumId w:val="9"/>
  </w:num>
  <w:num w:numId="10">
    <w:abstractNumId w:val="20"/>
  </w:num>
  <w:num w:numId="11">
    <w:abstractNumId w:val="16"/>
  </w:num>
  <w:num w:numId="12">
    <w:abstractNumId w:val="17"/>
  </w:num>
  <w:num w:numId="13">
    <w:abstractNumId w:val="4"/>
  </w:num>
  <w:num w:numId="14">
    <w:abstractNumId w:val="18"/>
  </w:num>
  <w:num w:numId="15">
    <w:abstractNumId w:val="6"/>
  </w:num>
  <w:num w:numId="16">
    <w:abstractNumId w:val="7"/>
  </w:num>
  <w:num w:numId="17">
    <w:abstractNumId w:val="8"/>
  </w:num>
  <w:num w:numId="18">
    <w:abstractNumId w:val="10"/>
  </w:num>
  <w:num w:numId="19">
    <w:abstractNumId w:val="19"/>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14"/>
    <w:rsid w:val="00024CD6"/>
    <w:rsid w:val="00043652"/>
    <w:rsid w:val="001102DE"/>
    <w:rsid w:val="00110CC3"/>
    <w:rsid w:val="00120F58"/>
    <w:rsid w:val="001B3E4B"/>
    <w:rsid w:val="00202353"/>
    <w:rsid w:val="003174C9"/>
    <w:rsid w:val="00326314"/>
    <w:rsid w:val="003725E6"/>
    <w:rsid w:val="003B1389"/>
    <w:rsid w:val="003F5951"/>
    <w:rsid w:val="004006E3"/>
    <w:rsid w:val="00415536"/>
    <w:rsid w:val="00437927"/>
    <w:rsid w:val="00465531"/>
    <w:rsid w:val="00472614"/>
    <w:rsid w:val="00477EEF"/>
    <w:rsid w:val="004C7EE7"/>
    <w:rsid w:val="00552851"/>
    <w:rsid w:val="00571D64"/>
    <w:rsid w:val="005A399C"/>
    <w:rsid w:val="005A4579"/>
    <w:rsid w:val="005A51CB"/>
    <w:rsid w:val="005F66DC"/>
    <w:rsid w:val="00600E52"/>
    <w:rsid w:val="00611982"/>
    <w:rsid w:val="00636BBD"/>
    <w:rsid w:val="00665466"/>
    <w:rsid w:val="006C107A"/>
    <w:rsid w:val="00700779"/>
    <w:rsid w:val="0073688B"/>
    <w:rsid w:val="008F316F"/>
    <w:rsid w:val="009752D7"/>
    <w:rsid w:val="00976D72"/>
    <w:rsid w:val="00982869"/>
    <w:rsid w:val="009B2A44"/>
    <w:rsid w:val="00A138B6"/>
    <w:rsid w:val="00AD478A"/>
    <w:rsid w:val="00AF0A1D"/>
    <w:rsid w:val="00B17BED"/>
    <w:rsid w:val="00B50EDF"/>
    <w:rsid w:val="00B62B4F"/>
    <w:rsid w:val="00BF2D2B"/>
    <w:rsid w:val="00C13835"/>
    <w:rsid w:val="00C3045C"/>
    <w:rsid w:val="00C500DF"/>
    <w:rsid w:val="00CD56BC"/>
    <w:rsid w:val="00CF2400"/>
    <w:rsid w:val="00D768D9"/>
    <w:rsid w:val="00D92C95"/>
    <w:rsid w:val="00E37150"/>
    <w:rsid w:val="00E431FB"/>
    <w:rsid w:val="00E50709"/>
    <w:rsid w:val="00E8393C"/>
    <w:rsid w:val="00E93FC5"/>
    <w:rsid w:val="00EE25FB"/>
    <w:rsid w:val="00F1537E"/>
    <w:rsid w:val="00FB0A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5F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314"/>
    <w:pPr>
      <w:ind w:left="720"/>
      <w:contextualSpacing/>
    </w:pPr>
  </w:style>
  <w:style w:type="table" w:styleId="Grilledutableau">
    <w:name w:val="Table Grid"/>
    <w:basedOn w:val="TableauNormal"/>
    <w:uiPriority w:val="59"/>
    <w:rsid w:val="0032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726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C10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07A"/>
    <w:rPr>
      <w:rFonts w:ascii="Tahoma" w:hAnsi="Tahoma" w:cs="Tahoma"/>
      <w:sz w:val="16"/>
      <w:szCs w:val="16"/>
    </w:rPr>
  </w:style>
  <w:style w:type="character" w:styleId="Lienhypertexte">
    <w:name w:val="Hyperlink"/>
    <w:uiPriority w:val="99"/>
    <w:unhideWhenUsed/>
    <w:rsid w:val="006C107A"/>
    <w:rPr>
      <w:color w:val="0000FF"/>
      <w:u w:val="single"/>
    </w:rPr>
  </w:style>
  <w:style w:type="paragraph" w:styleId="Sansinterligne">
    <w:name w:val="No Spacing"/>
    <w:uiPriority w:val="1"/>
    <w:qFormat/>
    <w:rsid w:val="00CF2400"/>
    <w:pPr>
      <w:spacing w:after="0" w:line="240" w:lineRule="auto"/>
    </w:pPr>
  </w:style>
  <w:style w:type="character" w:styleId="Accentuation">
    <w:name w:val="Emphasis"/>
    <w:basedOn w:val="Policepardfaut"/>
    <w:uiPriority w:val="20"/>
    <w:qFormat/>
    <w:rsid w:val="009752D7"/>
    <w:rPr>
      <w:i/>
      <w:iCs/>
    </w:rPr>
  </w:style>
  <w:style w:type="character" w:styleId="lev">
    <w:name w:val="Strong"/>
    <w:basedOn w:val="Policepardfaut"/>
    <w:uiPriority w:val="22"/>
    <w:qFormat/>
    <w:rsid w:val="009752D7"/>
    <w:rPr>
      <w:b/>
      <w:bCs/>
    </w:rPr>
  </w:style>
  <w:style w:type="character" w:styleId="Lienhypertextesuivivisit">
    <w:name w:val="FollowedHyperlink"/>
    <w:basedOn w:val="Policepardfaut"/>
    <w:uiPriority w:val="99"/>
    <w:semiHidden/>
    <w:unhideWhenUsed/>
    <w:rsid w:val="00636BBD"/>
    <w:rPr>
      <w:color w:val="800080" w:themeColor="followedHyperlink"/>
      <w:u w:val="single"/>
    </w:rPr>
  </w:style>
  <w:style w:type="character" w:customStyle="1" w:styleId="Titre1Car">
    <w:name w:val="Titre 1 Car"/>
    <w:basedOn w:val="Policepardfaut"/>
    <w:link w:val="Titre1"/>
    <w:uiPriority w:val="9"/>
    <w:rsid w:val="003F5951"/>
    <w:rPr>
      <w:rFonts w:ascii="Times New Roman" w:eastAsia="Times New Roman" w:hAnsi="Times New Roman" w:cs="Times New Roman"/>
      <w:b/>
      <w:bCs/>
      <w:kern w:val="36"/>
      <w:sz w:val="48"/>
      <w:szCs w:val="48"/>
      <w:lang w:eastAsia="fr-FR"/>
    </w:rPr>
  </w:style>
  <w:style w:type="character" w:customStyle="1" w:styleId="articleoption">
    <w:name w:val="article_option"/>
    <w:basedOn w:val="Policepardfaut"/>
    <w:rsid w:val="00571D64"/>
  </w:style>
  <w:style w:type="character" w:customStyle="1" w:styleId="Date1">
    <w:name w:val="Date1"/>
    <w:basedOn w:val="Policepardfaut"/>
    <w:rsid w:val="00571D64"/>
  </w:style>
  <w:style w:type="paragraph" w:customStyle="1" w:styleId="spip">
    <w:name w:val="spip"/>
    <w:basedOn w:val="Normal"/>
    <w:rsid w:val="00571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F66DC"/>
    <w:rPr>
      <w:rFonts w:asciiTheme="majorHAnsi" w:eastAsiaTheme="majorEastAsia" w:hAnsiTheme="majorHAnsi" w:cstheme="majorBidi"/>
      <w:b/>
      <w:bCs/>
      <w:color w:val="4F81BD" w:themeColor="accent1"/>
    </w:rPr>
  </w:style>
  <w:style w:type="character" w:customStyle="1" w:styleId="sous-titre">
    <w:name w:val="sous-titre"/>
    <w:basedOn w:val="Policepardfaut"/>
    <w:rsid w:val="005F6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5F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314"/>
    <w:pPr>
      <w:ind w:left="720"/>
      <w:contextualSpacing/>
    </w:pPr>
  </w:style>
  <w:style w:type="table" w:styleId="Grilledutableau">
    <w:name w:val="Table Grid"/>
    <w:basedOn w:val="TableauNormal"/>
    <w:uiPriority w:val="59"/>
    <w:rsid w:val="0032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726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C10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07A"/>
    <w:rPr>
      <w:rFonts w:ascii="Tahoma" w:hAnsi="Tahoma" w:cs="Tahoma"/>
      <w:sz w:val="16"/>
      <w:szCs w:val="16"/>
    </w:rPr>
  </w:style>
  <w:style w:type="character" w:styleId="Lienhypertexte">
    <w:name w:val="Hyperlink"/>
    <w:uiPriority w:val="99"/>
    <w:unhideWhenUsed/>
    <w:rsid w:val="006C107A"/>
    <w:rPr>
      <w:color w:val="0000FF"/>
      <w:u w:val="single"/>
    </w:rPr>
  </w:style>
  <w:style w:type="paragraph" w:styleId="Sansinterligne">
    <w:name w:val="No Spacing"/>
    <w:uiPriority w:val="1"/>
    <w:qFormat/>
    <w:rsid w:val="00CF2400"/>
    <w:pPr>
      <w:spacing w:after="0" w:line="240" w:lineRule="auto"/>
    </w:pPr>
  </w:style>
  <w:style w:type="character" w:styleId="Accentuation">
    <w:name w:val="Emphasis"/>
    <w:basedOn w:val="Policepardfaut"/>
    <w:uiPriority w:val="20"/>
    <w:qFormat/>
    <w:rsid w:val="009752D7"/>
    <w:rPr>
      <w:i/>
      <w:iCs/>
    </w:rPr>
  </w:style>
  <w:style w:type="character" w:styleId="lev">
    <w:name w:val="Strong"/>
    <w:basedOn w:val="Policepardfaut"/>
    <w:uiPriority w:val="22"/>
    <w:qFormat/>
    <w:rsid w:val="009752D7"/>
    <w:rPr>
      <w:b/>
      <w:bCs/>
    </w:rPr>
  </w:style>
  <w:style w:type="character" w:styleId="Lienhypertextesuivivisit">
    <w:name w:val="FollowedHyperlink"/>
    <w:basedOn w:val="Policepardfaut"/>
    <w:uiPriority w:val="99"/>
    <w:semiHidden/>
    <w:unhideWhenUsed/>
    <w:rsid w:val="00636BBD"/>
    <w:rPr>
      <w:color w:val="800080" w:themeColor="followedHyperlink"/>
      <w:u w:val="single"/>
    </w:rPr>
  </w:style>
  <w:style w:type="character" w:customStyle="1" w:styleId="Titre1Car">
    <w:name w:val="Titre 1 Car"/>
    <w:basedOn w:val="Policepardfaut"/>
    <w:link w:val="Titre1"/>
    <w:uiPriority w:val="9"/>
    <w:rsid w:val="003F5951"/>
    <w:rPr>
      <w:rFonts w:ascii="Times New Roman" w:eastAsia="Times New Roman" w:hAnsi="Times New Roman" w:cs="Times New Roman"/>
      <w:b/>
      <w:bCs/>
      <w:kern w:val="36"/>
      <w:sz w:val="48"/>
      <w:szCs w:val="48"/>
      <w:lang w:eastAsia="fr-FR"/>
    </w:rPr>
  </w:style>
  <w:style w:type="character" w:customStyle="1" w:styleId="articleoption">
    <w:name w:val="article_option"/>
    <w:basedOn w:val="Policepardfaut"/>
    <w:rsid w:val="00571D64"/>
  </w:style>
  <w:style w:type="character" w:customStyle="1" w:styleId="Date1">
    <w:name w:val="Date1"/>
    <w:basedOn w:val="Policepardfaut"/>
    <w:rsid w:val="00571D64"/>
  </w:style>
  <w:style w:type="paragraph" w:customStyle="1" w:styleId="spip">
    <w:name w:val="spip"/>
    <w:basedOn w:val="Normal"/>
    <w:rsid w:val="00571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F66DC"/>
    <w:rPr>
      <w:rFonts w:asciiTheme="majorHAnsi" w:eastAsiaTheme="majorEastAsia" w:hAnsiTheme="majorHAnsi" w:cstheme="majorBidi"/>
      <w:b/>
      <w:bCs/>
      <w:color w:val="4F81BD" w:themeColor="accent1"/>
    </w:rPr>
  </w:style>
  <w:style w:type="character" w:customStyle="1" w:styleId="sous-titre">
    <w:name w:val="sous-titre"/>
    <w:basedOn w:val="Policepardfaut"/>
    <w:rsid w:val="005F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57">
      <w:bodyDiv w:val="1"/>
      <w:marLeft w:val="0"/>
      <w:marRight w:val="0"/>
      <w:marTop w:val="0"/>
      <w:marBottom w:val="0"/>
      <w:divBdr>
        <w:top w:val="none" w:sz="0" w:space="0" w:color="auto"/>
        <w:left w:val="none" w:sz="0" w:space="0" w:color="auto"/>
        <w:bottom w:val="none" w:sz="0" w:space="0" w:color="auto"/>
        <w:right w:val="none" w:sz="0" w:space="0" w:color="auto"/>
      </w:divBdr>
    </w:div>
    <w:div w:id="740950357">
      <w:bodyDiv w:val="1"/>
      <w:marLeft w:val="0"/>
      <w:marRight w:val="0"/>
      <w:marTop w:val="0"/>
      <w:marBottom w:val="0"/>
      <w:divBdr>
        <w:top w:val="none" w:sz="0" w:space="0" w:color="auto"/>
        <w:left w:val="none" w:sz="0" w:space="0" w:color="auto"/>
        <w:bottom w:val="none" w:sz="0" w:space="0" w:color="auto"/>
        <w:right w:val="none" w:sz="0" w:space="0" w:color="auto"/>
      </w:divBdr>
      <w:divsChild>
        <w:div w:id="100420667">
          <w:marLeft w:val="0"/>
          <w:marRight w:val="0"/>
          <w:marTop w:val="0"/>
          <w:marBottom w:val="0"/>
          <w:divBdr>
            <w:top w:val="none" w:sz="0" w:space="0" w:color="auto"/>
            <w:left w:val="none" w:sz="0" w:space="0" w:color="auto"/>
            <w:bottom w:val="none" w:sz="0" w:space="0" w:color="auto"/>
            <w:right w:val="none" w:sz="0" w:space="0" w:color="auto"/>
          </w:divBdr>
          <w:divsChild>
            <w:div w:id="2038852692">
              <w:marLeft w:val="0"/>
              <w:marRight w:val="0"/>
              <w:marTop w:val="0"/>
              <w:marBottom w:val="0"/>
              <w:divBdr>
                <w:top w:val="none" w:sz="0" w:space="0" w:color="auto"/>
                <w:left w:val="none" w:sz="0" w:space="0" w:color="auto"/>
                <w:bottom w:val="none" w:sz="0" w:space="0" w:color="auto"/>
                <w:right w:val="none" w:sz="0" w:space="0" w:color="auto"/>
              </w:divBdr>
            </w:div>
          </w:divsChild>
        </w:div>
        <w:div w:id="920724720">
          <w:marLeft w:val="0"/>
          <w:marRight w:val="0"/>
          <w:marTop w:val="0"/>
          <w:marBottom w:val="0"/>
          <w:divBdr>
            <w:top w:val="none" w:sz="0" w:space="0" w:color="auto"/>
            <w:left w:val="none" w:sz="0" w:space="0" w:color="auto"/>
            <w:bottom w:val="none" w:sz="0" w:space="0" w:color="auto"/>
            <w:right w:val="none" w:sz="0" w:space="0" w:color="auto"/>
          </w:divBdr>
          <w:divsChild>
            <w:div w:id="3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014">
      <w:bodyDiv w:val="1"/>
      <w:marLeft w:val="0"/>
      <w:marRight w:val="0"/>
      <w:marTop w:val="0"/>
      <w:marBottom w:val="0"/>
      <w:divBdr>
        <w:top w:val="none" w:sz="0" w:space="0" w:color="auto"/>
        <w:left w:val="none" w:sz="0" w:space="0" w:color="auto"/>
        <w:bottom w:val="none" w:sz="0" w:space="0" w:color="auto"/>
        <w:right w:val="none" w:sz="0" w:space="0" w:color="auto"/>
      </w:divBdr>
      <w:divsChild>
        <w:div w:id="115418480">
          <w:marLeft w:val="0"/>
          <w:marRight w:val="0"/>
          <w:marTop w:val="0"/>
          <w:marBottom w:val="0"/>
          <w:divBdr>
            <w:top w:val="none" w:sz="0" w:space="0" w:color="auto"/>
            <w:left w:val="none" w:sz="0" w:space="0" w:color="auto"/>
            <w:bottom w:val="none" w:sz="0" w:space="0" w:color="auto"/>
            <w:right w:val="none" w:sz="0" w:space="0" w:color="auto"/>
          </w:divBdr>
          <w:divsChild>
            <w:div w:id="966350701">
              <w:marLeft w:val="0"/>
              <w:marRight w:val="0"/>
              <w:marTop w:val="0"/>
              <w:marBottom w:val="0"/>
              <w:divBdr>
                <w:top w:val="none" w:sz="0" w:space="0" w:color="auto"/>
                <w:left w:val="none" w:sz="0" w:space="0" w:color="auto"/>
                <w:bottom w:val="none" w:sz="0" w:space="0" w:color="auto"/>
                <w:right w:val="none" w:sz="0" w:space="0" w:color="auto"/>
              </w:divBdr>
              <w:divsChild>
                <w:div w:id="1405764836">
                  <w:marLeft w:val="0"/>
                  <w:marRight w:val="0"/>
                  <w:marTop w:val="0"/>
                  <w:marBottom w:val="0"/>
                  <w:divBdr>
                    <w:top w:val="none" w:sz="0" w:space="0" w:color="auto"/>
                    <w:left w:val="none" w:sz="0" w:space="0" w:color="auto"/>
                    <w:bottom w:val="none" w:sz="0" w:space="0" w:color="auto"/>
                    <w:right w:val="none" w:sz="0" w:space="0" w:color="auto"/>
                  </w:divBdr>
                  <w:divsChild>
                    <w:div w:id="776220294">
                      <w:marLeft w:val="0"/>
                      <w:marRight w:val="0"/>
                      <w:marTop w:val="0"/>
                      <w:marBottom w:val="0"/>
                      <w:divBdr>
                        <w:top w:val="none" w:sz="0" w:space="0" w:color="auto"/>
                        <w:left w:val="none" w:sz="0" w:space="0" w:color="auto"/>
                        <w:bottom w:val="none" w:sz="0" w:space="0" w:color="auto"/>
                        <w:right w:val="none" w:sz="0" w:space="0" w:color="auto"/>
                      </w:divBdr>
                    </w:div>
                    <w:div w:id="432480310">
                      <w:marLeft w:val="0"/>
                      <w:marRight w:val="0"/>
                      <w:marTop w:val="0"/>
                      <w:marBottom w:val="0"/>
                      <w:divBdr>
                        <w:top w:val="none" w:sz="0" w:space="0" w:color="auto"/>
                        <w:left w:val="none" w:sz="0" w:space="0" w:color="auto"/>
                        <w:bottom w:val="none" w:sz="0" w:space="0" w:color="auto"/>
                        <w:right w:val="none" w:sz="0" w:space="0" w:color="auto"/>
                      </w:divBdr>
                      <w:divsChild>
                        <w:div w:id="1641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263">
                  <w:marLeft w:val="0"/>
                  <w:marRight w:val="0"/>
                  <w:marTop w:val="0"/>
                  <w:marBottom w:val="0"/>
                  <w:divBdr>
                    <w:top w:val="none" w:sz="0" w:space="0" w:color="auto"/>
                    <w:left w:val="none" w:sz="0" w:space="0" w:color="auto"/>
                    <w:bottom w:val="none" w:sz="0" w:space="0" w:color="auto"/>
                    <w:right w:val="none" w:sz="0" w:space="0" w:color="auto"/>
                  </w:divBdr>
                  <w:divsChild>
                    <w:div w:id="365183270">
                      <w:marLeft w:val="0"/>
                      <w:marRight w:val="0"/>
                      <w:marTop w:val="0"/>
                      <w:marBottom w:val="0"/>
                      <w:divBdr>
                        <w:top w:val="none" w:sz="0" w:space="0" w:color="auto"/>
                        <w:left w:val="none" w:sz="0" w:space="0" w:color="auto"/>
                        <w:bottom w:val="none" w:sz="0" w:space="0" w:color="auto"/>
                        <w:right w:val="none" w:sz="0" w:space="0" w:color="auto"/>
                      </w:divBdr>
                      <w:divsChild>
                        <w:div w:id="21169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680">
                  <w:marLeft w:val="0"/>
                  <w:marRight w:val="0"/>
                  <w:marTop w:val="0"/>
                  <w:marBottom w:val="0"/>
                  <w:divBdr>
                    <w:top w:val="none" w:sz="0" w:space="0" w:color="auto"/>
                    <w:left w:val="none" w:sz="0" w:space="0" w:color="auto"/>
                    <w:bottom w:val="none" w:sz="0" w:space="0" w:color="auto"/>
                    <w:right w:val="none" w:sz="0" w:space="0" w:color="auto"/>
                  </w:divBdr>
                  <w:divsChild>
                    <w:div w:id="230777777">
                      <w:marLeft w:val="0"/>
                      <w:marRight w:val="0"/>
                      <w:marTop w:val="0"/>
                      <w:marBottom w:val="0"/>
                      <w:divBdr>
                        <w:top w:val="none" w:sz="0" w:space="0" w:color="auto"/>
                        <w:left w:val="none" w:sz="0" w:space="0" w:color="auto"/>
                        <w:bottom w:val="none" w:sz="0" w:space="0" w:color="auto"/>
                        <w:right w:val="none" w:sz="0" w:space="0" w:color="auto"/>
                      </w:divBdr>
                      <w:divsChild>
                        <w:div w:id="79375869">
                          <w:marLeft w:val="0"/>
                          <w:marRight w:val="0"/>
                          <w:marTop w:val="0"/>
                          <w:marBottom w:val="0"/>
                          <w:divBdr>
                            <w:top w:val="none" w:sz="0" w:space="0" w:color="auto"/>
                            <w:left w:val="none" w:sz="0" w:space="0" w:color="auto"/>
                            <w:bottom w:val="none" w:sz="0" w:space="0" w:color="auto"/>
                            <w:right w:val="none" w:sz="0" w:space="0" w:color="auto"/>
                          </w:divBdr>
                        </w:div>
                        <w:div w:id="12796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34500">
      <w:bodyDiv w:val="1"/>
      <w:marLeft w:val="0"/>
      <w:marRight w:val="0"/>
      <w:marTop w:val="0"/>
      <w:marBottom w:val="0"/>
      <w:divBdr>
        <w:top w:val="none" w:sz="0" w:space="0" w:color="auto"/>
        <w:left w:val="none" w:sz="0" w:space="0" w:color="auto"/>
        <w:bottom w:val="none" w:sz="0" w:space="0" w:color="auto"/>
        <w:right w:val="none" w:sz="0" w:space="0" w:color="auto"/>
      </w:divBdr>
    </w:div>
    <w:div w:id="1122459784">
      <w:bodyDiv w:val="1"/>
      <w:marLeft w:val="0"/>
      <w:marRight w:val="0"/>
      <w:marTop w:val="0"/>
      <w:marBottom w:val="0"/>
      <w:divBdr>
        <w:top w:val="none" w:sz="0" w:space="0" w:color="auto"/>
        <w:left w:val="none" w:sz="0" w:space="0" w:color="auto"/>
        <w:bottom w:val="none" w:sz="0" w:space="0" w:color="auto"/>
        <w:right w:val="none" w:sz="0" w:space="0" w:color="auto"/>
      </w:divBdr>
    </w:div>
    <w:div w:id="1242594487">
      <w:bodyDiv w:val="1"/>
      <w:marLeft w:val="0"/>
      <w:marRight w:val="0"/>
      <w:marTop w:val="0"/>
      <w:marBottom w:val="0"/>
      <w:divBdr>
        <w:top w:val="none" w:sz="0" w:space="0" w:color="auto"/>
        <w:left w:val="none" w:sz="0" w:space="0" w:color="auto"/>
        <w:bottom w:val="none" w:sz="0" w:space="0" w:color="auto"/>
        <w:right w:val="none" w:sz="0" w:space="0" w:color="auto"/>
      </w:divBdr>
      <w:divsChild>
        <w:div w:id="187644290">
          <w:marLeft w:val="0"/>
          <w:marRight w:val="0"/>
          <w:marTop w:val="0"/>
          <w:marBottom w:val="0"/>
          <w:divBdr>
            <w:top w:val="none" w:sz="0" w:space="0" w:color="auto"/>
            <w:left w:val="none" w:sz="0" w:space="0" w:color="auto"/>
            <w:bottom w:val="none" w:sz="0" w:space="0" w:color="auto"/>
            <w:right w:val="none" w:sz="0" w:space="0" w:color="auto"/>
          </w:divBdr>
          <w:divsChild>
            <w:div w:id="1040277387">
              <w:marLeft w:val="0"/>
              <w:marRight w:val="0"/>
              <w:marTop w:val="0"/>
              <w:marBottom w:val="0"/>
              <w:divBdr>
                <w:top w:val="none" w:sz="0" w:space="0" w:color="auto"/>
                <w:left w:val="none" w:sz="0" w:space="0" w:color="auto"/>
                <w:bottom w:val="none" w:sz="0" w:space="0" w:color="auto"/>
                <w:right w:val="none" w:sz="0" w:space="0" w:color="auto"/>
              </w:divBdr>
              <w:divsChild>
                <w:div w:id="1053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0197">
      <w:bodyDiv w:val="1"/>
      <w:marLeft w:val="0"/>
      <w:marRight w:val="0"/>
      <w:marTop w:val="0"/>
      <w:marBottom w:val="0"/>
      <w:divBdr>
        <w:top w:val="none" w:sz="0" w:space="0" w:color="auto"/>
        <w:left w:val="none" w:sz="0" w:space="0" w:color="auto"/>
        <w:bottom w:val="none" w:sz="0" w:space="0" w:color="auto"/>
        <w:right w:val="none" w:sz="0" w:space="0" w:color="auto"/>
      </w:divBdr>
    </w:div>
    <w:div w:id="19333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apprendre.education.fr/comptes/etat/solde/financ_deficit.htm" TargetMode="External"/><Relationship Id="rId13" Type="http://schemas.openxmlformats.org/officeDocument/2006/relationships/hyperlink" Target="https://www.senat.fr/senfic/angels_bernard97009n.html" TargetMode="External"/><Relationship Id="rId18" Type="http://schemas.openxmlformats.org/officeDocument/2006/relationships/hyperlink" Target="https://www.insee.fr/fr/statistiques/4174895?sommaire=4180914&amp;q=Contribution+%C3%A0%20la+croissance+du+PIB" TargetMode="External"/><Relationship Id="rId3" Type="http://schemas.microsoft.com/office/2007/relationships/stylesWithEffects" Target="stylesWithEffects.xml"/><Relationship Id="rId7" Type="http://schemas.openxmlformats.org/officeDocument/2006/relationships/hyperlink" Target="http://www.statapprendre.education.fr/comptes/etat/solde/solde_def.htm" TargetMode="Externa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vie-publique.fr/decouverte-institutions/finances-publiques/approfondissements/role-economique-eta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dessinemoileco.com/lelaboration-du-budget-de-let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enat.fr/rap/r07-441/r07-4416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2090</Words>
  <Characters>11496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Lycée Jean Michel</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 PROFIL</dc:creator>
  <cp:lastModifiedBy>Meillier</cp:lastModifiedBy>
  <cp:revision>3</cp:revision>
  <dcterms:created xsi:type="dcterms:W3CDTF">2019-07-08T09:10:00Z</dcterms:created>
  <dcterms:modified xsi:type="dcterms:W3CDTF">2019-07-08T09:21:00Z</dcterms:modified>
</cp:coreProperties>
</file>