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40FD5" w14:textId="77777777" w:rsidR="00B30CC4" w:rsidRPr="00B30CC4" w:rsidRDefault="00B30CC4" w:rsidP="00B30CC4">
      <w:pPr>
        <w:pBdr>
          <w:bottom w:val="single" w:sz="4" w:space="1" w:color="auto"/>
        </w:pBdr>
        <w:jc w:val="center"/>
        <w:rPr>
          <w:rFonts w:ascii="Segoe UI" w:hAnsi="Segoe UI" w:cs="Segoe UI"/>
          <w:b/>
        </w:rPr>
      </w:pPr>
      <w:r w:rsidRPr="00B30CC4">
        <w:rPr>
          <w:rFonts w:ascii="Segoe UI" w:hAnsi="Segoe UI" w:cs="Segoe UI"/>
          <w:b/>
        </w:rPr>
        <w:t xml:space="preserve">E3C1 </w:t>
      </w:r>
      <w:r>
        <w:rPr>
          <w:rFonts w:ascii="Segoe UI" w:hAnsi="Segoe UI" w:cs="Segoe UI"/>
          <w:b/>
        </w:rPr>
        <w:t>SUR</w:t>
      </w:r>
      <w:r w:rsidRPr="00B30CC4">
        <w:rPr>
          <w:rFonts w:ascii="Segoe UI" w:hAnsi="Segoe UI" w:cs="Segoe UI"/>
          <w:b/>
        </w:rPr>
        <w:t xml:space="preserve"> COMMENT UN MARCHÉ CONCURRENTIEL FONCTIONNE-T-IL ?</w:t>
      </w:r>
    </w:p>
    <w:p w14:paraId="7B704EC5" w14:textId="77777777" w:rsidR="00B30CC4" w:rsidRDefault="00B30CC4" w:rsidP="00B30CC4"/>
    <w:tbl>
      <w:tblPr>
        <w:tblStyle w:val="Grilledutableau"/>
        <w:tblW w:w="10726" w:type="dxa"/>
        <w:tblInd w:w="-45" w:type="dxa"/>
        <w:tblCellMar>
          <w:left w:w="63" w:type="dxa"/>
        </w:tblCellMar>
        <w:tblLook w:val="04A0" w:firstRow="1" w:lastRow="0" w:firstColumn="1" w:lastColumn="0" w:noHBand="0" w:noVBand="1"/>
      </w:tblPr>
      <w:tblGrid>
        <w:gridCol w:w="3096"/>
        <w:gridCol w:w="7630"/>
      </w:tblGrid>
      <w:tr w:rsidR="00B30CC4" w14:paraId="422F4199" w14:textId="77777777" w:rsidTr="00F22515">
        <w:trPr>
          <w:trHeight w:val="639"/>
        </w:trPr>
        <w:tc>
          <w:tcPr>
            <w:tcW w:w="3096" w:type="dxa"/>
            <w:shd w:val="clear" w:color="auto" w:fill="auto"/>
            <w:tcMar>
              <w:left w:w="63" w:type="dxa"/>
            </w:tcMar>
          </w:tcPr>
          <w:p w14:paraId="1E8AC717" w14:textId="77777777" w:rsidR="00B30CC4" w:rsidRPr="00BB053B" w:rsidRDefault="00B30CC4" w:rsidP="00F22515">
            <w:pPr>
              <w:jc w:val="both"/>
              <w:rPr>
                <w:sz w:val="22"/>
              </w:rPr>
            </w:pPr>
            <w:r w:rsidRPr="00BB053B">
              <w:rPr>
                <w:rFonts w:eastAsia="Calibri" w:cstheme="minorHAnsi"/>
                <w:b/>
                <w:color w:val="00000A"/>
                <w:sz w:val="22"/>
              </w:rPr>
              <w:t>Niveau</w:t>
            </w:r>
          </w:p>
        </w:tc>
        <w:tc>
          <w:tcPr>
            <w:tcW w:w="7629" w:type="dxa"/>
            <w:shd w:val="clear" w:color="auto" w:fill="auto"/>
            <w:tcMar>
              <w:left w:w="63" w:type="dxa"/>
            </w:tcMar>
          </w:tcPr>
          <w:p w14:paraId="4D048A02" w14:textId="77777777" w:rsidR="00B30CC4" w:rsidRPr="00BB053B" w:rsidRDefault="00B30CC4" w:rsidP="00F22515">
            <w:pPr>
              <w:rPr>
                <w:sz w:val="22"/>
              </w:rPr>
            </w:pPr>
            <w:r w:rsidRPr="00BB053B">
              <w:rPr>
                <w:rFonts w:eastAsia="Calibri" w:cstheme="minorHAnsi"/>
                <w:b/>
                <w:color w:val="00000A"/>
                <w:sz w:val="22"/>
              </w:rPr>
              <w:t>Première –Science économique</w:t>
            </w:r>
          </w:p>
        </w:tc>
      </w:tr>
      <w:tr w:rsidR="00B30CC4" w14:paraId="32D45118" w14:textId="77777777" w:rsidTr="00F22515">
        <w:trPr>
          <w:trHeight w:val="658"/>
        </w:trPr>
        <w:tc>
          <w:tcPr>
            <w:tcW w:w="3096" w:type="dxa"/>
            <w:shd w:val="clear" w:color="auto" w:fill="auto"/>
            <w:tcMar>
              <w:left w:w="63" w:type="dxa"/>
            </w:tcMar>
          </w:tcPr>
          <w:p w14:paraId="29F46060" w14:textId="77777777" w:rsidR="00B30CC4" w:rsidRPr="00BB053B" w:rsidRDefault="00B30CC4" w:rsidP="00F22515">
            <w:pPr>
              <w:jc w:val="both"/>
              <w:rPr>
                <w:sz w:val="22"/>
              </w:rPr>
            </w:pPr>
            <w:r w:rsidRPr="00BB053B">
              <w:rPr>
                <w:rFonts w:eastAsia="Calibri" w:cstheme="minorHAnsi"/>
                <w:b/>
                <w:color w:val="00000A"/>
                <w:sz w:val="22"/>
              </w:rPr>
              <w:t>Questionnement</w:t>
            </w:r>
          </w:p>
          <w:p w14:paraId="1F221BE4" w14:textId="77777777" w:rsidR="00B30CC4" w:rsidRPr="00BB053B" w:rsidRDefault="00B30CC4" w:rsidP="00F22515">
            <w:pPr>
              <w:jc w:val="both"/>
              <w:rPr>
                <w:sz w:val="22"/>
              </w:rPr>
            </w:pPr>
            <w:r w:rsidRPr="00BB053B">
              <w:rPr>
                <w:rFonts w:eastAsia="Calibri" w:cstheme="minorHAnsi"/>
                <w:color w:val="00000A"/>
                <w:sz w:val="22"/>
              </w:rPr>
              <w:t>(</w:t>
            </w:r>
            <w:proofErr w:type="gramStart"/>
            <w:r w:rsidRPr="00BB053B">
              <w:rPr>
                <w:rFonts w:eastAsia="Calibri" w:cstheme="minorHAnsi"/>
                <w:color w:val="00000A"/>
                <w:sz w:val="22"/>
              </w:rPr>
              <w:t>cf.</w:t>
            </w:r>
            <w:proofErr w:type="gramEnd"/>
            <w:r w:rsidRPr="00BB053B">
              <w:rPr>
                <w:rFonts w:eastAsia="Calibri" w:cstheme="minorHAnsi"/>
                <w:color w:val="00000A"/>
                <w:sz w:val="22"/>
              </w:rPr>
              <w:t xml:space="preserve"> programme)</w:t>
            </w:r>
          </w:p>
        </w:tc>
        <w:tc>
          <w:tcPr>
            <w:tcW w:w="7629" w:type="dxa"/>
            <w:shd w:val="clear" w:color="auto" w:fill="auto"/>
            <w:tcMar>
              <w:left w:w="63" w:type="dxa"/>
            </w:tcMar>
          </w:tcPr>
          <w:p w14:paraId="7A94CB92" w14:textId="77777777" w:rsidR="00B30CC4" w:rsidRPr="00B30CC4" w:rsidRDefault="00B30CC4" w:rsidP="00B30CC4">
            <w:pPr>
              <w:jc w:val="both"/>
              <w:rPr>
                <w:rFonts w:eastAsia="Calibri" w:cstheme="minorHAnsi"/>
                <w:b/>
                <w:bCs/>
                <w:color w:val="00000A"/>
                <w:sz w:val="22"/>
              </w:rPr>
            </w:pPr>
            <w:r w:rsidRPr="00B30CC4">
              <w:rPr>
                <w:rFonts w:eastAsia="Calibri" w:cstheme="minorHAnsi"/>
                <w:b/>
                <w:bCs/>
                <w:color w:val="00000A"/>
                <w:sz w:val="22"/>
              </w:rPr>
              <w:t>COMMENT UN MARCHÉ CONCURRENTIEL FONCTIONNE-T-IL ?</w:t>
            </w:r>
          </w:p>
          <w:p w14:paraId="3952A6C3" w14:textId="77777777" w:rsidR="00B30CC4" w:rsidRPr="00BB053B" w:rsidRDefault="00B30CC4" w:rsidP="00F22515">
            <w:pPr>
              <w:jc w:val="both"/>
              <w:rPr>
                <w:rFonts w:eastAsia="Calibri" w:cstheme="minorHAnsi"/>
                <w:bCs/>
                <w:color w:val="00000A"/>
                <w:sz w:val="22"/>
              </w:rPr>
            </w:pPr>
          </w:p>
        </w:tc>
      </w:tr>
      <w:tr w:rsidR="00B30CC4" w14:paraId="7426E18C" w14:textId="77777777" w:rsidTr="00F22515">
        <w:trPr>
          <w:trHeight w:val="639"/>
        </w:trPr>
        <w:tc>
          <w:tcPr>
            <w:tcW w:w="3096" w:type="dxa"/>
            <w:shd w:val="clear" w:color="auto" w:fill="auto"/>
            <w:tcMar>
              <w:left w:w="63" w:type="dxa"/>
            </w:tcMar>
          </w:tcPr>
          <w:p w14:paraId="1637DFC9" w14:textId="77777777" w:rsidR="00B30CC4" w:rsidRPr="00BB053B" w:rsidRDefault="00B30CC4" w:rsidP="00F22515">
            <w:pPr>
              <w:jc w:val="both"/>
              <w:rPr>
                <w:sz w:val="22"/>
              </w:rPr>
            </w:pPr>
            <w:r w:rsidRPr="00BB053B">
              <w:rPr>
                <w:rFonts w:eastAsia="Calibri" w:cstheme="minorHAnsi"/>
                <w:b/>
                <w:color w:val="00000A"/>
                <w:sz w:val="22"/>
              </w:rPr>
              <w:t>Objectifs d’apprentissage</w:t>
            </w:r>
          </w:p>
          <w:p w14:paraId="7890E23B" w14:textId="77777777" w:rsidR="00B30CC4" w:rsidRPr="00BB053B" w:rsidRDefault="00B30CC4" w:rsidP="00F22515">
            <w:pPr>
              <w:jc w:val="both"/>
              <w:rPr>
                <w:sz w:val="22"/>
              </w:rPr>
            </w:pPr>
            <w:r w:rsidRPr="00BB053B">
              <w:rPr>
                <w:rFonts w:eastAsia="Calibri" w:cstheme="minorHAnsi"/>
                <w:color w:val="00000A"/>
                <w:sz w:val="22"/>
              </w:rPr>
              <w:t>(</w:t>
            </w:r>
            <w:proofErr w:type="gramStart"/>
            <w:r w:rsidRPr="00BB053B">
              <w:rPr>
                <w:rFonts w:eastAsia="Calibri" w:cstheme="minorHAnsi"/>
                <w:color w:val="00000A"/>
                <w:sz w:val="22"/>
              </w:rPr>
              <w:t>cf.</w:t>
            </w:r>
            <w:proofErr w:type="gramEnd"/>
            <w:r w:rsidRPr="00BB053B">
              <w:rPr>
                <w:rFonts w:eastAsia="Calibri" w:cstheme="minorHAnsi"/>
                <w:color w:val="00000A"/>
                <w:sz w:val="22"/>
              </w:rPr>
              <w:t xml:space="preserve"> programme)</w:t>
            </w:r>
          </w:p>
        </w:tc>
        <w:tc>
          <w:tcPr>
            <w:tcW w:w="7629" w:type="dxa"/>
            <w:shd w:val="clear" w:color="auto" w:fill="auto"/>
            <w:tcMar>
              <w:left w:w="63" w:type="dxa"/>
            </w:tcMar>
          </w:tcPr>
          <w:p w14:paraId="6943E4D2" w14:textId="77777777" w:rsidR="00B30CC4" w:rsidRPr="00BB053B" w:rsidRDefault="00B30CC4" w:rsidP="00B30CC4">
            <w:pPr>
              <w:jc w:val="both"/>
              <w:rPr>
                <w:rFonts w:eastAsia="Calibri" w:cstheme="minorHAnsi"/>
                <w:bCs/>
                <w:color w:val="00000A"/>
                <w:sz w:val="22"/>
              </w:rPr>
            </w:pPr>
            <w:r w:rsidRPr="00BB053B">
              <w:rPr>
                <w:rFonts w:eastAsia="Calibri" w:cstheme="minorHAnsi"/>
                <w:b/>
                <w:color w:val="00000A"/>
                <w:sz w:val="22"/>
              </w:rPr>
              <w:t xml:space="preserve">Savoir </w:t>
            </w:r>
            <w:r w:rsidRPr="00BB053B">
              <w:rPr>
                <w:rFonts w:eastAsia="Calibri" w:cstheme="minorHAnsi"/>
                <w:bCs/>
                <w:color w:val="00000A"/>
                <w:sz w:val="22"/>
              </w:rPr>
              <w:t xml:space="preserve">interpréter des courbes d’offre et de demande ainsi que leurs pentes, et </w:t>
            </w:r>
            <w:r w:rsidRPr="00BB053B">
              <w:rPr>
                <w:rFonts w:eastAsia="Calibri" w:cstheme="minorHAnsi"/>
                <w:b/>
                <w:color w:val="00000A"/>
                <w:sz w:val="22"/>
              </w:rPr>
              <w:t>comprendre</w:t>
            </w:r>
            <w:r w:rsidRPr="00BB053B">
              <w:rPr>
                <w:rFonts w:eastAsia="Calibri" w:cstheme="minorHAnsi"/>
                <w:bCs/>
                <w:color w:val="00000A"/>
                <w:sz w:val="22"/>
              </w:rPr>
              <w:t xml:space="preserve"> comment leur confrontation détermine l’équilibre sur un marché de type concurrentiel où les agents sont preneurs de prix.</w:t>
            </w:r>
          </w:p>
          <w:p w14:paraId="6CAE4200" w14:textId="77777777" w:rsidR="00B30CC4" w:rsidRPr="00BB053B" w:rsidRDefault="00B30CC4" w:rsidP="00B30CC4">
            <w:pPr>
              <w:jc w:val="both"/>
              <w:rPr>
                <w:rFonts w:eastAsia="Calibri" w:cstheme="minorHAnsi"/>
                <w:b/>
                <w:color w:val="00000A"/>
                <w:sz w:val="22"/>
              </w:rPr>
            </w:pPr>
            <w:r w:rsidRPr="00BB053B">
              <w:rPr>
                <w:rFonts w:eastAsia="Calibri" w:cstheme="minorHAnsi"/>
                <w:b/>
                <w:color w:val="00000A"/>
                <w:sz w:val="22"/>
              </w:rPr>
              <w:t>Comprendre</w:t>
            </w:r>
            <w:r w:rsidRPr="00BB053B">
              <w:rPr>
                <w:rFonts w:eastAsia="Calibri" w:cstheme="minorHAnsi"/>
                <w:bCs/>
                <w:color w:val="00000A"/>
                <w:sz w:val="22"/>
              </w:rPr>
              <w:t xml:space="preserve"> les notions de surplus du producteur et du consommateur</w:t>
            </w:r>
          </w:p>
        </w:tc>
      </w:tr>
      <w:tr w:rsidR="00B30CC4" w14:paraId="56C15F8E" w14:textId="77777777" w:rsidTr="00F22515">
        <w:trPr>
          <w:trHeight w:val="1645"/>
        </w:trPr>
        <w:tc>
          <w:tcPr>
            <w:tcW w:w="3096" w:type="dxa"/>
            <w:shd w:val="clear" w:color="auto" w:fill="auto"/>
            <w:tcMar>
              <w:left w:w="63" w:type="dxa"/>
            </w:tcMar>
          </w:tcPr>
          <w:p w14:paraId="12A7B943" w14:textId="77777777" w:rsidR="00B30CC4" w:rsidRPr="00BB053B" w:rsidRDefault="00B30CC4" w:rsidP="00F22515">
            <w:pPr>
              <w:jc w:val="both"/>
              <w:rPr>
                <w:sz w:val="22"/>
              </w:rPr>
            </w:pPr>
            <w:r w:rsidRPr="00BB053B">
              <w:rPr>
                <w:rFonts w:eastAsia="Calibri" w:cstheme="minorHAnsi"/>
                <w:b/>
                <w:color w:val="00000A"/>
                <w:sz w:val="22"/>
              </w:rPr>
              <w:t>Objectifs de la séquence (en termes de savoirs, savoir-faire et compétences transversales)</w:t>
            </w:r>
          </w:p>
        </w:tc>
        <w:tc>
          <w:tcPr>
            <w:tcW w:w="7629" w:type="dxa"/>
            <w:shd w:val="clear" w:color="auto" w:fill="auto"/>
            <w:tcMar>
              <w:left w:w="63" w:type="dxa"/>
            </w:tcMar>
          </w:tcPr>
          <w:p w14:paraId="2E75C8C9" w14:textId="77777777" w:rsidR="00B30CC4" w:rsidRDefault="00B30CC4" w:rsidP="00F22515">
            <w:pPr>
              <w:jc w:val="both"/>
              <w:rPr>
                <w:rFonts w:eastAsia="Calibri" w:cstheme="minorHAnsi"/>
                <w:bCs/>
                <w:color w:val="00000A"/>
                <w:sz w:val="22"/>
              </w:rPr>
            </w:pPr>
            <w:r w:rsidRPr="006E583F">
              <w:rPr>
                <w:rFonts w:eastAsia="Calibri" w:cstheme="minorHAnsi"/>
                <w:bCs/>
                <w:color w:val="00000A"/>
                <w:sz w:val="22"/>
              </w:rPr>
              <w:t>Evaluation sur l’intégralité du chapitre</w:t>
            </w:r>
            <w:r w:rsidR="005067B7">
              <w:rPr>
                <w:rFonts w:eastAsia="Calibri" w:cstheme="minorHAnsi"/>
                <w:bCs/>
                <w:color w:val="00000A"/>
                <w:sz w:val="22"/>
              </w:rPr>
              <w:t xml:space="preserve">, plus particulièrement sur les objectifs d’apprentissage suivants : </w:t>
            </w:r>
          </w:p>
          <w:p w14:paraId="3020C55B" w14:textId="77777777" w:rsidR="005067B7" w:rsidRPr="00CF6E79" w:rsidRDefault="00F20A34" w:rsidP="00CF6E79">
            <w:pPr>
              <w:pStyle w:val="Paragraphedeliste"/>
              <w:numPr>
                <w:ilvl w:val="0"/>
                <w:numId w:val="13"/>
              </w:numPr>
              <w:ind w:left="141" w:firstLine="0"/>
              <w:jc w:val="both"/>
              <w:rPr>
                <w:rFonts w:eastAsia="Calibri" w:cstheme="minorHAnsi"/>
                <w:bCs/>
                <w:color w:val="00000A"/>
              </w:rPr>
            </w:pPr>
            <w:r w:rsidRPr="00F20A34">
              <w:rPr>
                <w:rFonts w:ascii="Segoe UI" w:hAnsi="Segoe UI" w:cs="Segoe UI"/>
              </w:rPr>
              <w:t>Savoir interpréter des courbes d’offre et de demande ainsi que leurs pentes, et comprendre comment leur confrontation détermine l’équilibre sur un marché de type concurrentiel où les agents sont preneurs de prix.</w:t>
            </w:r>
          </w:p>
          <w:p w14:paraId="743FFFBC" w14:textId="0B49A15D" w:rsidR="00CF6E79" w:rsidRPr="00CF6E79" w:rsidRDefault="00CF6E79" w:rsidP="00CF6E79">
            <w:pPr>
              <w:pStyle w:val="Paragraphedeliste"/>
              <w:numPr>
                <w:ilvl w:val="0"/>
                <w:numId w:val="13"/>
              </w:numPr>
              <w:ind w:left="141" w:firstLine="0"/>
              <w:rPr>
                <w:rFonts w:ascii="Segoe UI" w:hAnsi="Segoe UI" w:cs="Segoe UI"/>
                <w:i/>
                <w:color w:val="000000"/>
              </w:rPr>
            </w:pPr>
            <w:r w:rsidRPr="00CF6E79">
              <w:rPr>
                <w:rFonts w:ascii="Segoe UI" w:eastAsia="Calibri" w:hAnsi="Segoe UI" w:cs="Segoe UI"/>
                <w:b/>
                <w:color w:val="00000A"/>
              </w:rPr>
              <w:t>Comprendre</w:t>
            </w:r>
            <w:r w:rsidRPr="00CF6E79">
              <w:rPr>
                <w:rFonts w:ascii="Segoe UI" w:eastAsia="Calibri" w:hAnsi="Segoe UI" w:cs="Segoe UI"/>
                <w:bCs/>
                <w:color w:val="00000A"/>
              </w:rPr>
              <w:t xml:space="preserve"> les notions de surplus du producteur et du consommateur)</w:t>
            </w:r>
          </w:p>
          <w:p w14:paraId="477B0D7D" w14:textId="74CEE8BB" w:rsidR="00CF6E79" w:rsidRPr="00CF6E79" w:rsidRDefault="00CF6E79" w:rsidP="00CF6E79">
            <w:pPr>
              <w:pStyle w:val="Paragraphedeliste"/>
              <w:numPr>
                <w:ilvl w:val="0"/>
                <w:numId w:val="13"/>
              </w:numPr>
              <w:ind w:left="141" w:firstLine="0"/>
              <w:jc w:val="both"/>
              <w:rPr>
                <w:rFonts w:eastAsia="Calibri" w:cstheme="minorHAnsi"/>
                <w:bCs/>
                <w:color w:val="00000A"/>
              </w:rPr>
            </w:pPr>
            <w:r w:rsidRPr="00CF6E79">
              <w:rPr>
                <w:rFonts w:ascii="Segoe UI" w:hAnsi="Segoe UI" w:cs="Segoe UI"/>
                <w:b/>
                <w:bCs/>
              </w:rPr>
              <w:t>Comprendre</w:t>
            </w:r>
            <w:r w:rsidRPr="00CF6E79">
              <w:rPr>
                <w:rFonts w:ascii="Segoe UI" w:hAnsi="Segoe UI" w:cs="Segoe UI"/>
              </w:rPr>
              <w:t xml:space="preserve"> la notion de gains à l’échange et savoir que la somme des surplus est maximisée à l’équilibre.</w:t>
            </w:r>
          </w:p>
        </w:tc>
      </w:tr>
      <w:tr w:rsidR="00B30CC4" w14:paraId="05B221B1" w14:textId="77777777" w:rsidTr="00F22515">
        <w:trPr>
          <w:trHeight w:val="310"/>
        </w:trPr>
        <w:tc>
          <w:tcPr>
            <w:tcW w:w="3096" w:type="dxa"/>
            <w:shd w:val="clear" w:color="auto" w:fill="auto"/>
            <w:tcMar>
              <w:left w:w="63" w:type="dxa"/>
            </w:tcMar>
          </w:tcPr>
          <w:p w14:paraId="537BC10C" w14:textId="77777777" w:rsidR="00B30CC4" w:rsidRPr="00BB053B" w:rsidRDefault="00B30CC4" w:rsidP="00F22515">
            <w:pPr>
              <w:jc w:val="both"/>
              <w:rPr>
                <w:sz w:val="22"/>
              </w:rPr>
            </w:pPr>
            <w:proofErr w:type="spellStart"/>
            <w:r w:rsidRPr="00BB053B">
              <w:rPr>
                <w:rFonts w:eastAsia="Calibri" w:cstheme="minorHAnsi"/>
                <w:b/>
                <w:color w:val="00000A"/>
                <w:sz w:val="22"/>
              </w:rPr>
              <w:t>Pré-requis</w:t>
            </w:r>
            <w:proofErr w:type="spellEnd"/>
          </w:p>
        </w:tc>
        <w:tc>
          <w:tcPr>
            <w:tcW w:w="7629" w:type="dxa"/>
            <w:shd w:val="clear" w:color="auto" w:fill="auto"/>
            <w:tcMar>
              <w:left w:w="63" w:type="dxa"/>
            </w:tcMar>
          </w:tcPr>
          <w:p w14:paraId="4DA9C9DE" w14:textId="77777777" w:rsidR="00B30CC4" w:rsidRPr="00BB053B" w:rsidRDefault="00B30CC4" w:rsidP="00F22515">
            <w:pPr>
              <w:jc w:val="both"/>
              <w:rPr>
                <w:rFonts w:eastAsia="Calibri" w:cstheme="minorHAnsi"/>
                <w:bCs/>
                <w:color w:val="00000A"/>
                <w:sz w:val="22"/>
              </w:rPr>
            </w:pPr>
            <w:r w:rsidRPr="00BB053B">
              <w:rPr>
                <w:rFonts w:eastAsia="Calibri" w:cstheme="minorHAnsi"/>
                <w:bCs/>
                <w:color w:val="00000A"/>
                <w:sz w:val="22"/>
              </w:rPr>
              <w:t>Intégralité du chapitre</w:t>
            </w:r>
          </w:p>
        </w:tc>
      </w:tr>
      <w:tr w:rsidR="00B30CC4" w14:paraId="6B41102C" w14:textId="77777777" w:rsidTr="00F22515">
        <w:trPr>
          <w:trHeight w:val="329"/>
        </w:trPr>
        <w:tc>
          <w:tcPr>
            <w:tcW w:w="3096" w:type="dxa"/>
            <w:shd w:val="clear" w:color="auto" w:fill="auto"/>
            <w:tcMar>
              <w:left w:w="63" w:type="dxa"/>
            </w:tcMar>
          </w:tcPr>
          <w:p w14:paraId="1DC34730" w14:textId="77777777" w:rsidR="00B30CC4" w:rsidRPr="00BB053B" w:rsidRDefault="00B30CC4" w:rsidP="00F22515">
            <w:pPr>
              <w:jc w:val="both"/>
              <w:rPr>
                <w:sz w:val="22"/>
              </w:rPr>
            </w:pPr>
            <w:r w:rsidRPr="00BB053B">
              <w:rPr>
                <w:rFonts w:eastAsia="Calibri" w:cstheme="minorHAnsi"/>
                <w:b/>
                <w:color w:val="00000A"/>
                <w:sz w:val="22"/>
              </w:rPr>
              <w:t>Conditions matérielles</w:t>
            </w:r>
          </w:p>
        </w:tc>
        <w:tc>
          <w:tcPr>
            <w:tcW w:w="7629" w:type="dxa"/>
            <w:shd w:val="clear" w:color="auto" w:fill="auto"/>
            <w:tcMar>
              <w:left w:w="63" w:type="dxa"/>
            </w:tcMar>
          </w:tcPr>
          <w:p w14:paraId="678EC5A4" w14:textId="77777777" w:rsidR="00B30CC4" w:rsidRPr="00BB053B" w:rsidRDefault="00B30CC4" w:rsidP="00F22515">
            <w:pPr>
              <w:jc w:val="both"/>
              <w:rPr>
                <w:rFonts w:eastAsia="Calibri" w:cstheme="minorHAnsi"/>
                <w:b/>
                <w:color w:val="00000A"/>
                <w:sz w:val="22"/>
              </w:rPr>
            </w:pPr>
          </w:p>
        </w:tc>
      </w:tr>
      <w:tr w:rsidR="00B30CC4" w14:paraId="790FEB9D" w14:textId="77777777" w:rsidTr="00F22515">
        <w:trPr>
          <w:trHeight w:val="310"/>
        </w:trPr>
        <w:tc>
          <w:tcPr>
            <w:tcW w:w="3096" w:type="dxa"/>
            <w:shd w:val="clear" w:color="auto" w:fill="auto"/>
            <w:tcMar>
              <w:left w:w="63" w:type="dxa"/>
            </w:tcMar>
          </w:tcPr>
          <w:p w14:paraId="3A1661E5" w14:textId="77777777" w:rsidR="00B30CC4" w:rsidRPr="00BB053B" w:rsidRDefault="00B30CC4" w:rsidP="00F22515">
            <w:pPr>
              <w:jc w:val="both"/>
              <w:rPr>
                <w:sz w:val="22"/>
              </w:rPr>
            </w:pPr>
            <w:r w:rsidRPr="00BB053B">
              <w:rPr>
                <w:rFonts w:eastAsia="Calibri" w:cstheme="minorHAnsi"/>
                <w:b/>
                <w:color w:val="00000A"/>
                <w:sz w:val="22"/>
              </w:rPr>
              <w:t>Durée indicative</w:t>
            </w:r>
          </w:p>
        </w:tc>
        <w:tc>
          <w:tcPr>
            <w:tcW w:w="7629" w:type="dxa"/>
            <w:shd w:val="clear" w:color="auto" w:fill="auto"/>
            <w:tcMar>
              <w:left w:w="63" w:type="dxa"/>
            </w:tcMar>
          </w:tcPr>
          <w:p w14:paraId="07B6560D" w14:textId="77777777" w:rsidR="00B30CC4" w:rsidRPr="00BB053B" w:rsidRDefault="00B30CC4" w:rsidP="00F22515">
            <w:pPr>
              <w:jc w:val="both"/>
              <w:rPr>
                <w:rFonts w:eastAsia="Calibri" w:cstheme="minorHAnsi"/>
                <w:bCs/>
                <w:color w:val="00000A"/>
                <w:sz w:val="22"/>
              </w:rPr>
            </w:pPr>
            <w:r w:rsidRPr="00BB053B">
              <w:rPr>
                <w:rFonts w:eastAsia="Calibri" w:cstheme="minorHAnsi"/>
                <w:bCs/>
                <w:color w:val="00000A"/>
                <w:sz w:val="22"/>
              </w:rPr>
              <w:t>1h</w:t>
            </w:r>
          </w:p>
        </w:tc>
      </w:tr>
      <w:tr w:rsidR="00B30CC4" w14:paraId="5E536C9D" w14:textId="77777777" w:rsidTr="00F22515">
        <w:trPr>
          <w:trHeight w:val="329"/>
        </w:trPr>
        <w:tc>
          <w:tcPr>
            <w:tcW w:w="3096" w:type="dxa"/>
            <w:shd w:val="clear" w:color="auto" w:fill="auto"/>
            <w:tcMar>
              <w:left w:w="63" w:type="dxa"/>
            </w:tcMar>
          </w:tcPr>
          <w:p w14:paraId="72CEDD65" w14:textId="77777777" w:rsidR="00B30CC4" w:rsidRPr="00BB053B" w:rsidRDefault="00B30CC4" w:rsidP="00F22515">
            <w:pPr>
              <w:jc w:val="both"/>
              <w:rPr>
                <w:sz w:val="22"/>
              </w:rPr>
            </w:pPr>
            <w:r w:rsidRPr="00BB053B">
              <w:rPr>
                <w:rFonts w:eastAsia="Calibri" w:cstheme="minorHAnsi"/>
                <w:b/>
                <w:color w:val="00000A"/>
                <w:sz w:val="22"/>
              </w:rPr>
              <w:t>Concepteur(s)</w:t>
            </w:r>
          </w:p>
        </w:tc>
        <w:tc>
          <w:tcPr>
            <w:tcW w:w="7629" w:type="dxa"/>
            <w:shd w:val="clear" w:color="auto" w:fill="auto"/>
            <w:tcMar>
              <w:left w:w="63" w:type="dxa"/>
            </w:tcMar>
          </w:tcPr>
          <w:p w14:paraId="0510532C" w14:textId="77777777" w:rsidR="00B30CC4" w:rsidRPr="00BB053B" w:rsidRDefault="00B30CC4" w:rsidP="00F22515">
            <w:pPr>
              <w:jc w:val="both"/>
              <w:rPr>
                <w:sz w:val="22"/>
              </w:rPr>
            </w:pPr>
            <w:r w:rsidRPr="00BB053B">
              <w:rPr>
                <w:sz w:val="22"/>
              </w:rPr>
              <w:t>Anne-gaelle.battu@ac-besancon.fr</w:t>
            </w:r>
          </w:p>
        </w:tc>
      </w:tr>
    </w:tbl>
    <w:p w14:paraId="417AB4A0" w14:textId="77777777" w:rsidR="00B30CC4" w:rsidRDefault="00B30CC4" w:rsidP="00B30CC4"/>
    <w:p w14:paraId="25F021AD" w14:textId="77777777" w:rsidR="00D848B6" w:rsidRDefault="00D848B6" w:rsidP="00D848B6">
      <w:pPr>
        <w:pStyle w:val="NormalWeb"/>
        <w:rPr>
          <w:rFonts w:ascii="Arial" w:hAnsi="Arial" w:cs="Arial"/>
          <w:b/>
          <w:bCs/>
          <w:sz w:val="22"/>
          <w:szCs w:val="22"/>
        </w:rPr>
      </w:pPr>
      <w:r>
        <w:rPr>
          <w:rFonts w:ascii="Arial" w:hAnsi="Arial" w:cs="Arial"/>
          <w:b/>
          <w:bCs/>
          <w:sz w:val="22"/>
          <w:szCs w:val="22"/>
        </w:rPr>
        <w:t xml:space="preserve">Première partie : Mobilisation de connaissances et traitement de l’information (10 points) </w:t>
      </w:r>
    </w:p>
    <w:p w14:paraId="3D3C3817" w14:textId="77777777" w:rsidR="00E46312" w:rsidRPr="00B30CC4" w:rsidRDefault="000160C7" w:rsidP="00B30CC4">
      <w:pPr>
        <w:jc w:val="center"/>
        <w:rPr>
          <w:b/>
          <w:bCs/>
        </w:rPr>
      </w:pPr>
      <w:r w:rsidRPr="00B30CC4">
        <w:rPr>
          <w:b/>
          <w:bCs/>
        </w:rPr>
        <w:t>Document : représentation graphique du marché des fraise</w:t>
      </w:r>
      <w:r w:rsidR="00E77C92" w:rsidRPr="00B30CC4">
        <w:rPr>
          <w:b/>
          <w:bCs/>
        </w:rPr>
        <w:t>s</w:t>
      </w:r>
      <w:r w:rsidR="00811FC8">
        <w:rPr>
          <w:b/>
          <w:bCs/>
        </w:rPr>
        <w:t>, marché</w:t>
      </w:r>
      <w:r w:rsidR="00E77C92" w:rsidRPr="00B30CC4">
        <w:rPr>
          <w:b/>
          <w:bCs/>
        </w:rPr>
        <w:t xml:space="preserve"> en situation de concurrence parfaite</w:t>
      </w:r>
      <w:r w:rsidRPr="00B30CC4">
        <w:rPr>
          <w:b/>
          <w:bCs/>
        </w:rPr>
        <w:t xml:space="preserve"> (exemple fictif)</w:t>
      </w:r>
    </w:p>
    <w:p w14:paraId="4A409C40" w14:textId="7B0C5A75" w:rsidR="000160C7" w:rsidRDefault="004A3529" w:rsidP="00B30CC4">
      <w:pPr>
        <w:jc w:val="center"/>
      </w:pPr>
      <w:r>
        <w:rPr>
          <w:noProof/>
        </w:rPr>
        <w:drawing>
          <wp:inline distT="0" distB="0" distL="0" distR="0" wp14:anchorId="265B82F3" wp14:editId="1FBB7354">
            <wp:extent cx="5788026" cy="3041650"/>
            <wp:effectExtent l="0" t="0" r="3175" b="6350"/>
            <wp:docPr id="2" name="Graphique 2">
              <a:extLst xmlns:a="http://schemas.openxmlformats.org/drawingml/2006/main">
                <a:ext uri="{FF2B5EF4-FFF2-40B4-BE49-F238E27FC236}">
                  <a16:creationId xmlns:a16="http://schemas.microsoft.com/office/drawing/2014/main" id="{7ECA0972-2387-480F-86FA-C28ED40BAC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BB7318C" w14:textId="77777777" w:rsidR="000160C7" w:rsidRPr="00811FC8" w:rsidRDefault="00B30CC4">
      <w:pPr>
        <w:rPr>
          <w:b/>
          <w:bCs/>
        </w:rPr>
      </w:pPr>
      <w:r w:rsidRPr="00811FC8">
        <w:rPr>
          <w:b/>
          <w:bCs/>
        </w:rPr>
        <w:t xml:space="preserve">Questions </w:t>
      </w:r>
    </w:p>
    <w:p w14:paraId="2DF489B9" w14:textId="77777777" w:rsidR="00E46312" w:rsidRPr="00D7536F" w:rsidRDefault="00E46312" w:rsidP="00E46312">
      <w:pPr>
        <w:pStyle w:val="Paragraphedeliste"/>
        <w:numPr>
          <w:ilvl w:val="0"/>
          <w:numId w:val="1"/>
        </w:numPr>
        <w:rPr>
          <w:rFonts w:ascii="Segoe UI" w:hAnsi="Segoe UI" w:cs="Segoe UI"/>
        </w:rPr>
      </w:pPr>
      <w:r w:rsidRPr="00D7536F">
        <w:rPr>
          <w:rFonts w:ascii="Segoe UI" w:hAnsi="Segoe UI" w:cs="Segoe UI"/>
        </w:rPr>
        <w:t>Qu’est-ce qu’un marché de concurrence parfaite ?</w:t>
      </w:r>
      <w:r w:rsidR="00C365E4" w:rsidRPr="00D7536F">
        <w:rPr>
          <w:rFonts w:ascii="Segoe UI" w:hAnsi="Segoe UI" w:cs="Segoe UI"/>
        </w:rPr>
        <w:t xml:space="preserve"> (3 points)</w:t>
      </w:r>
    </w:p>
    <w:p w14:paraId="19544B16" w14:textId="77777777" w:rsidR="00E77C92" w:rsidRPr="00D7536F" w:rsidRDefault="000160C7" w:rsidP="00E77C92">
      <w:pPr>
        <w:pStyle w:val="Paragraphedeliste"/>
        <w:numPr>
          <w:ilvl w:val="0"/>
          <w:numId w:val="1"/>
        </w:numPr>
        <w:rPr>
          <w:rFonts w:ascii="Segoe UI" w:hAnsi="Segoe UI" w:cs="Segoe UI"/>
        </w:rPr>
      </w:pPr>
      <w:r w:rsidRPr="00D7536F">
        <w:rPr>
          <w:rFonts w:ascii="Segoe UI" w:hAnsi="Segoe UI" w:cs="Segoe UI"/>
        </w:rPr>
        <w:t>Faites une lecture permettant de donner du sens au point</w:t>
      </w:r>
      <w:r w:rsidR="00E77C92" w:rsidRPr="00D7536F">
        <w:rPr>
          <w:rFonts w:ascii="Segoe UI" w:hAnsi="Segoe UI" w:cs="Segoe UI"/>
        </w:rPr>
        <w:t xml:space="preserve"> d’intersection des deux droites</w:t>
      </w:r>
      <w:r w:rsidR="00B30CC4" w:rsidRPr="00D7536F">
        <w:rPr>
          <w:rFonts w:ascii="Segoe UI" w:hAnsi="Segoe UI" w:cs="Segoe UI"/>
        </w:rPr>
        <w:t>.</w:t>
      </w:r>
    </w:p>
    <w:p w14:paraId="51D14C67" w14:textId="77777777" w:rsidR="00811FC8" w:rsidRPr="00811FC8" w:rsidRDefault="00811FC8" w:rsidP="00811FC8">
      <w:pPr>
        <w:pStyle w:val="Paragraphedeliste"/>
        <w:numPr>
          <w:ilvl w:val="0"/>
          <w:numId w:val="1"/>
        </w:numPr>
        <w:spacing w:after="0" w:line="240" w:lineRule="auto"/>
        <w:rPr>
          <w:rFonts w:ascii="Segoe UI" w:hAnsi="Segoe UI" w:cs="Segoe UI"/>
        </w:rPr>
      </w:pPr>
      <w:r w:rsidRPr="00811FC8">
        <w:rPr>
          <w:rFonts w:ascii="Segoe UI" w:hAnsi="Segoe UI" w:cs="Segoe UI"/>
        </w:rPr>
        <w:t>Explique</w:t>
      </w:r>
      <w:r w:rsidR="00BB053B">
        <w:rPr>
          <w:rFonts w:ascii="Segoe UI" w:hAnsi="Segoe UI" w:cs="Segoe UI"/>
        </w:rPr>
        <w:t>z</w:t>
      </w:r>
      <w:r w:rsidRPr="00811FC8">
        <w:rPr>
          <w:rFonts w:ascii="Segoe UI" w:hAnsi="Segoe UI" w:cs="Segoe UI"/>
        </w:rPr>
        <w:t xml:space="preserve"> grâce au document et à vos connaissances à quoi correspondent les surplus du producteur et du consommateur et quand sont-ils maximisés. (4 points)</w:t>
      </w:r>
    </w:p>
    <w:p w14:paraId="6A6B79A8" w14:textId="77777777" w:rsidR="00B30CC4" w:rsidRDefault="00B30CC4" w:rsidP="00B30CC4">
      <w:bookmarkStart w:id="0" w:name="_GoBack"/>
      <w:bookmarkEnd w:id="0"/>
    </w:p>
    <w:sectPr w:rsidR="00B30CC4" w:rsidSect="00B30CC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992"/>
    <w:multiLevelType w:val="hybridMultilevel"/>
    <w:tmpl w:val="1BDAC252"/>
    <w:lvl w:ilvl="0" w:tplc="1754720E">
      <w:start w:val="1"/>
      <w:numFmt w:val="bullet"/>
      <w:lvlText w:val="-"/>
      <w:lvlJc w:val="left"/>
      <w:pPr>
        <w:ind w:left="720" w:hanging="360"/>
      </w:pPr>
      <w:rPr>
        <w:rFonts w:ascii="Segoe UI" w:eastAsiaTheme="minorHAnsi" w:hAnsi="Segoe UI" w:cs="Segoe U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02D6B"/>
    <w:multiLevelType w:val="hybridMultilevel"/>
    <w:tmpl w:val="2FB4954E"/>
    <w:lvl w:ilvl="0" w:tplc="2AE26BFC">
      <w:start w:val="1"/>
      <w:numFmt w:val="bullet"/>
      <w:lvlText w:val="-"/>
      <w:lvlJc w:val="left"/>
      <w:pPr>
        <w:ind w:left="720" w:hanging="360"/>
      </w:pPr>
      <w:rPr>
        <w:rFonts w:ascii="Baskerville Old Face" w:eastAsiaTheme="minorHAnsi" w:hAnsi="Baskerville Old Fac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67372"/>
    <w:multiLevelType w:val="hybridMultilevel"/>
    <w:tmpl w:val="3EACA0DC"/>
    <w:lvl w:ilvl="0" w:tplc="DCCE73A0">
      <w:start w:val="2"/>
      <w:numFmt w:val="decimal"/>
      <w:lvlText w:val="%1-"/>
      <w:lvlJc w:val="left"/>
      <w:pPr>
        <w:ind w:left="720" w:hanging="360"/>
      </w:pPr>
      <w:rPr>
        <w:rFonts w:ascii="Baskerville Old Face" w:hAnsi="Baskerville Old Face"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49124F"/>
    <w:multiLevelType w:val="hybridMultilevel"/>
    <w:tmpl w:val="4A4240A2"/>
    <w:lvl w:ilvl="0" w:tplc="8FB0CCC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CD1159"/>
    <w:multiLevelType w:val="hybridMultilevel"/>
    <w:tmpl w:val="C9B01F54"/>
    <w:lvl w:ilvl="0" w:tplc="CC80E7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3364A4"/>
    <w:multiLevelType w:val="hybridMultilevel"/>
    <w:tmpl w:val="C9B01F54"/>
    <w:lvl w:ilvl="0" w:tplc="CC80E7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56149E"/>
    <w:multiLevelType w:val="hybridMultilevel"/>
    <w:tmpl w:val="5D4A7BF6"/>
    <w:lvl w:ilvl="0" w:tplc="55C8647C">
      <w:start w:val="2"/>
      <w:numFmt w:val="bullet"/>
      <w:lvlText w:val="-"/>
      <w:lvlJc w:val="left"/>
      <w:pPr>
        <w:ind w:left="720" w:hanging="360"/>
      </w:pPr>
      <w:rPr>
        <w:rFonts w:ascii="Baskerville Old Face" w:eastAsiaTheme="minorHAnsi" w:hAnsi="Baskerville Old Fac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70788F"/>
    <w:multiLevelType w:val="hybridMultilevel"/>
    <w:tmpl w:val="526212C0"/>
    <w:lvl w:ilvl="0" w:tplc="55C8647C">
      <w:start w:val="2"/>
      <w:numFmt w:val="bullet"/>
      <w:lvlText w:val="-"/>
      <w:lvlJc w:val="left"/>
      <w:pPr>
        <w:ind w:left="720" w:hanging="360"/>
      </w:pPr>
      <w:rPr>
        <w:rFonts w:ascii="Baskerville Old Face" w:eastAsiaTheme="minorHAnsi" w:hAnsi="Baskerville Old Fac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AC56E4"/>
    <w:multiLevelType w:val="hybridMultilevel"/>
    <w:tmpl w:val="F1086EF2"/>
    <w:lvl w:ilvl="0" w:tplc="CC80E7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E5388B"/>
    <w:multiLevelType w:val="hybridMultilevel"/>
    <w:tmpl w:val="F1086EF2"/>
    <w:lvl w:ilvl="0" w:tplc="CC80E7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585941"/>
    <w:multiLevelType w:val="hybridMultilevel"/>
    <w:tmpl w:val="F1086EF2"/>
    <w:lvl w:ilvl="0" w:tplc="CC80E7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E30765"/>
    <w:multiLevelType w:val="multilevel"/>
    <w:tmpl w:val="B7CA7A42"/>
    <w:lvl w:ilvl="0">
      <w:start w:val="1"/>
      <w:numFmt w:val="decimal"/>
      <w:lvlText w:val="%1."/>
      <w:lvlJc w:val="left"/>
      <w:pPr>
        <w:ind w:left="1068" w:hanging="360"/>
      </w:pPr>
      <w:rPr>
        <w:rFonts w:ascii="Baskerville Old Face" w:hAnsi="Baskerville Old Face"/>
        <w:b/>
        <w:color w:val="0070C0"/>
        <w:sz w:val="28"/>
      </w:rPr>
    </w:lvl>
    <w:lvl w:ilvl="1">
      <w:start w:val="1"/>
      <w:numFmt w:val="decimal"/>
      <w:lvlText w:val="%1.%2"/>
      <w:lvlJc w:val="left"/>
      <w:pPr>
        <w:ind w:left="1068" w:hanging="360"/>
      </w:pPr>
    </w:lvl>
    <w:lvl w:ilvl="2">
      <w:start w:val="1"/>
      <w:numFmt w:val="decimal"/>
      <w:lvlText w:val="%1.%2.%3"/>
      <w:lvlJc w:val="left"/>
      <w:pPr>
        <w:ind w:left="1428" w:hanging="720"/>
      </w:pPr>
      <w:rPr>
        <w:rFonts w:ascii="Baskerville Old Face" w:hAnsi="Baskerville Old Face"/>
        <w:b/>
        <w:color w:val="0070C0"/>
        <w:sz w:val="28"/>
      </w:r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12" w15:restartNumberingAfterBreak="0">
    <w:nsid w:val="529E3C83"/>
    <w:multiLevelType w:val="hybridMultilevel"/>
    <w:tmpl w:val="72826E20"/>
    <w:lvl w:ilvl="0" w:tplc="1646F6D8">
      <w:start w:val="1"/>
      <w:numFmt w:val="decimal"/>
      <w:lvlText w:val="%1-"/>
      <w:lvlJc w:val="left"/>
      <w:pPr>
        <w:ind w:left="720" w:hanging="360"/>
      </w:pPr>
      <w:rPr>
        <w:rFonts w:ascii="Baskerville Old Face" w:hAnsi="Baskerville Old Face"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7"/>
  </w:num>
  <w:num w:numId="7">
    <w:abstractNumId w:val="9"/>
  </w:num>
  <w:num w:numId="8">
    <w:abstractNumId w:val="12"/>
  </w:num>
  <w:num w:numId="9">
    <w:abstractNumId w:val="2"/>
  </w:num>
  <w:num w:numId="10">
    <w:abstractNumId w:val="10"/>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12"/>
    <w:rsid w:val="000160C7"/>
    <w:rsid w:val="000E321A"/>
    <w:rsid w:val="00241520"/>
    <w:rsid w:val="002F4D4B"/>
    <w:rsid w:val="003C7DEC"/>
    <w:rsid w:val="004A3529"/>
    <w:rsid w:val="005067B7"/>
    <w:rsid w:val="006E583F"/>
    <w:rsid w:val="00811FC8"/>
    <w:rsid w:val="009F5AF6"/>
    <w:rsid w:val="00A535C3"/>
    <w:rsid w:val="00B30CC4"/>
    <w:rsid w:val="00B54E0B"/>
    <w:rsid w:val="00BB053B"/>
    <w:rsid w:val="00C365E4"/>
    <w:rsid w:val="00CF6E79"/>
    <w:rsid w:val="00D7536F"/>
    <w:rsid w:val="00D848B6"/>
    <w:rsid w:val="00E46312"/>
    <w:rsid w:val="00E77C92"/>
    <w:rsid w:val="00F20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0F49"/>
  <w15:chartTrackingRefBased/>
  <w15:docId w15:val="{C60441AE-8D33-4684-8803-017DD118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E46312"/>
    <w:pPr>
      <w:ind w:left="720"/>
      <w:contextualSpacing/>
    </w:pPr>
  </w:style>
  <w:style w:type="table" w:styleId="Grilledutableau">
    <w:name w:val="Table Grid"/>
    <w:basedOn w:val="TableauNormal"/>
    <w:rsid w:val="00B30CC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semiHidden/>
    <w:unhideWhenUsed/>
    <w:qFormat/>
    <w:rsid w:val="00C365E4"/>
    <w:pPr>
      <w:spacing w:before="40" w:after="120" w:line="288" w:lineRule="auto"/>
    </w:pPr>
    <w:rPr>
      <w:sz w:val="16"/>
    </w:rPr>
  </w:style>
  <w:style w:type="character" w:customStyle="1" w:styleId="Corpsdetexte3Car">
    <w:name w:val="Corps de texte 3 Car"/>
    <w:basedOn w:val="Policepardfaut"/>
    <w:link w:val="Corpsdetexte3"/>
    <w:uiPriority w:val="99"/>
    <w:semiHidden/>
    <w:qFormat/>
    <w:rsid w:val="00C365E4"/>
    <w:rPr>
      <w:sz w:val="16"/>
    </w:rPr>
  </w:style>
  <w:style w:type="paragraph" w:customStyle="1" w:styleId="Standard">
    <w:name w:val="Standard"/>
    <w:qFormat/>
    <w:rsid w:val="00C365E4"/>
    <w:pPr>
      <w:suppressAutoHyphens/>
      <w:spacing w:after="0" w:line="240" w:lineRule="auto"/>
    </w:pPr>
    <w:rPr>
      <w:rFonts w:ascii="Times New Roman" w:eastAsia="Times New Roman" w:hAnsi="Times New Roman" w:cs="Times New Roman"/>
      <w:color w:val="00000A"/>
      <w:szCs w:val="20"/>
      <w:lang w:eastAsia="fr-FR"/>
    </w:rPr>
  </w:style>
  <w:style w:type="paragraph" w:styleId="NormalWeb">
    <w:name w:val="Normal (Web)"/>
    <w:basedOn w:val="Normal"/>
    <w:uiPriority w:val="99"/>
    <w:unhideWhenUsed/>
    <w:rsid w:val="00D848B6"/>
    <w:pPr>
      <w:spacing w:before="100" w:beforeAutospacing="1" w:after="100" w:afterAutospacing="1" w:line="240" w:lineRule="auto"/>
    </w:pPr>
    <w:rPr>
      <w:rFonts w:ascii="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84423">
      <w:bodyDiv w:val="1"/>
      <w:marLeft w:val="0"/>
      <w:marRight w:val="0"/>
      <w:marTop w:val="0"/>
      <w:marBottom w:val="0"/>
      <w:divBdr>
        <w:top w:val="none" w:sz="0" w:space="0" w:color="auto"/>
        <w:left w:val="none" w:sz="0" w:space="0" w:color="auto"/>
        <w:bottom w:val="none" w:sz="0" w:space="0" w:color="auto"/>
        <w:right w:val="none" w:sz="0" w:space="0" w:color="auto"/>
      </w:divBdr>
      <w:divsChild>
        <w:div w:id="366875814">
          <w:marLeft w:val="0"/>
          <w:marRight w:val="0"/>
          <w:marTop w:val="0"/>
          <w:marBottom w:val="0"/>
          <w:divBdr>
            <w:top w:val="none" w:sz="0" w:space="0" w:color="auto"/>
            <w:left w:val="none" w:sz="0" w:space="0" w:color="auto"/>
            <w:bottom w:val="none" w:sz="0" w:space="0" w:color="auto"/>
            <w:right w:val="none" w:sz="0" w:space="0" w:color="auto"/>
          </w:divBdr>
        </w:div>
      </w:divsChild>
    </w:div>
    <w:div w:id="1576160854">
      <w:bodyDiv w:val="1"/>
      <w:marLeft w:val="0"/>
      <w:marRight w:val="0"/>
      <w:marTop w:val="0"/>
      <w:marBottom w:val="0"/>
      <w:divBdr>
        <w:top w:val="none" w:sz="0" w:space="0" w:color="auto"/>
        <w:left w:val="none" w:sz="0" w:space="0" w:color="auto"/>
        <w:bottom w:val="none" w:sz="0" w:space="0" w:color="auto"/>
        <w:right w:val="none" w:sz="0" w:space="0" w:color="auto"/>
      </w:divBdr>
      <w:divsChild>
        <w:div w:id="2104452560">
          <w:marLeft w:val="0"/>
          <w:marRight w:val="0"/>
          <w:marTop w:val="0"/>
          <w:marBottom w:val="0"/>
          <w:divBdr>
            <w:top w:val="none" w:sz="0" w:space="0" w:color="auto"/>
            <w:left w:val="none" w:sz="0" w:space="0" w:color="auto"/>
            <w:bottom w:val="none" w:sz="0" w:space="0" w:color="auto"/>
            <w:right w:val="none" w:sz="0" w:space="0" w:color="auto"/>
          </w:divBdr>
        </w:div>
        <w:div w:id="71395746">
          <w:marLeft w:val="0"/>
          <w:marRight w:val="0"/>
          <w:marTop w:val="0"/>
          <w:marBottom w:val="0"/>
          <w:divBdr>
            <w:top w:val="none" w:sz="0" w:space="0" w:color="auto"/>
            <w:left w:val="none" w:sz="0" w:space="0" w:color="auto"/>
            <w:bottom w:val="none" w:sz="0" w:space="0" w:color="auto"/>
            <w:right w:val="none" w:sz="0" w:space="0" w:color="auto"/>
          </w:divBdr>
        </w:div>
        <w:div w:id="108547900">
          <w:marLeft w:val="0"/>
          <w:marRight w:val="0"/>
          <w:marTop w:val="0"/>
          <w:marBottom w:val="0"/>
          <w:divBdr>
            <w:top w:val="none" w:sz="0" w:space="0" w:color="auto"/>
            <w:left w:val="none" w:sz="0" w:space="0" w:color="auto"/>
            <w:bottom w:val="none" w:sz="0" w:space="0" w:color="auto"/>
            <w:right w:val="none" w:sz="0" w:space="0" w:color="auto"/>
          </w:divBdr>
        </w:div>
      </w:divsChild>
    </w:div>
    <w:div w:id="1961956172">
      <w:bodyDiv w:val="1"/>
      <w:marLeft w:val="0"/>
      <w:marRight w:val="0"/>
      <w:marTop w:val="0"/>
      <w:marBottom w:val="0"/>
      <w:divBdr>
        <w:top w:val="none" w:sz="0" w:space="0" w:color="auto"/>
        <w:left w:val="none" w:sz="0" w:space="0" w:color="auto"/>
        <w:bottom w:val="none" w:sz="0" w:space="0" w:color="auto"/>
        <w:right w:val="none" w:sz="0" w:space="0" w:color="auto"/>
      </w:divBdr>
    </w:div>
    <w:div w:id="1988851753">
      <w:bodyDiv w:val="1"/>
      <w:marLeft w:val="0"/>
      <w:marRight w:val="0"/>
      <w:marTop w:val="0"/>
      <w:marBottom w:val="0"/>
      <w:divBdr>
        <w:top w:val="none" w:sz="0" w:space="0" w:color="auto"/>
        <w:left w:val="none" w:sz="0" w:space="0" w:color="auto"/>
        <w:bottom w:val="none" w:sz="0" w:space="0" w:color="auto"/>
        <w:right w:val="none" w:sz="0" w:space="0" w:color="auto"/>
      </w:divBdr>
      <w:divsChild>
        <w:div w:id="2111852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batt\AppData\Roaming\Microsoft\Excel\Classeur1%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MARCHE DES FRAISES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9.9120494621136812E-2"/>
          <c:y val="0.16739039665970773"/>
          <c:w val="0.86427497043033319"/>
          <c:h val="0.56422369437640751"/>
        </c:manualLayout>
      </c:layout>
      <c:scatterChart>
        <c:scatterStyle val="smoothMarker"/>
        <c:varyColors val="0"/>
        <c:ser>
          <c:idx val="0"/>
          <c:order val="0"/>
          <c:tx>
            <c:strRef>
              <c:f>Feuil1!$A$3</c:f>
              <c:strCache>
                <c:ptCount val="1"/>
                <c:pt idx="0">
                  <c:v>demande</c:v>
                </c:pt>
              </c:strCache>
            </c:strRef>
          </c:tx>
          <c:spPr>
            <a:ln w="19050" cap="rnd">
              <a:solidFill>
                <a:schemeClr val="dk1">
                  <a:tint val="88500"/>
                </a:schemeClr>
              </a:solidFill>
              <a:round/>
            </a:ln>
            <a:effectLst/>
          </c:spPr>
          <c:marker>
            <c:symbol val="none"/>
          </c:marker>
          <c:xVal>
            <c:numRef>
              <c:f>Feuil1!$C$3:$I$3</c:f>
              <c:numCache>
                <c:formatCode>General</c:formatCode>
                <c:ptCount val="7"/>
                <c:pt idx="0">
                  <c:v>60</c:v>
                </c:pt>
                <c:pt idx="1">
                  <c:v>55</c:v>
                </c:pt>
                <c:pt idx="2">
                  <c:v>50</c:v>
                </c:pt>
                <c:pt idx="3">
                  <c:v>45</c:v>
                </c:pt>
                <c:pt idx="4">
                  <c:v>40</c:v>
                </c:pt>
                <c:pt idx="5">
                  <c:v>35</c:v>
                </c:pt>
                <c:pt idx="6">
                  <c:v>30</c:v>
                </c:pt>
              </c:numCache>
            </c:numRef>
          </c:xVal>
          <c:yVal>
            <c:numRef>
              <c:f>Feuil1!$C$2:$I$2</c:f>
              <c:numCache>
                <c:formatCode>General</c:formatCode>
                <c:ptCount val="7"/>
                <c:pt idx="0">
                  <c:v>1</c:v>
                </c:pt>
                <c:pt idx="1">
                  <c:v>1.5</c:v>
                </c:pt>
                <c:pt idx="2">
                  <c:v>2</c:v>
                </c:pt>
                <c:pt idx="3">
                  <c:v>2.5</c:v>
                </c:pt>
                <c:pt idx="4">
                  <c:v>3</c:v>
                </c:pt>
                <c:pt idx="5">
                  <c:v>3.5</c:v>
                </c:pt>
                <c:pt idx="6">
                  <c:v>4</c:v>
                </c:pt>
              </c:numCache>
            </c:numRef>
          </c:yVal>
          <c:smooth val="1"/>
          <c:extLst>
            <c:ext xmlns:c16="http://schemas.microsoft.com/office/drawing/2014/chart" uri="{C3380CC4-5D6E-409C-BE32-E72D297353CC}">
              <c16:uniqueId val="{00000000-03E0-4FB0-B53D-3BC7BE266865}"/>
            </c:ext>
          </c:extLst>
        </c:ser>
        <c:ser>
          <c:idx val="1"/>
          <c:order val="1"/>
          <c:tx>
            <c:strRef>
              <c:f>Feuil1!$A$4</c:f>
              <c:strCache>
                <c:ptCount val="1"/>
                <c:pt idx="0">
                  <c:v>offre</c:v>
                </c:pt>
              </c:strCache>
            </c:strRef>
          </c:tx>
          <c:spPr>
            <a:ln w="19050" cap="rnd">
              <a:solidFill>
                <a:schemeClr val="dk1">
                  <a:tint val="55000"/>
                </a:schemeClr>
              </a:solidFill>
              <a:round/>
            </a:ln>
            <a:effectLst/>
          </c:spPr>
          <c:marker>
            <c:symbol val="none"/>
          </c:marker>
          <c:xVal>
            <c:numRef>
              <c:f>Feuil1!$C$4:$I$4</c:f>
              <c:numCache>
                <c:formatCode>General</c:formatCode>
                <c:ptCount val="7"/>
                <c:pt idx="0">
                  <c:v>40</c:v>
                </c:pt>
                <c:pt idx="1">
                  <c:v>45</c:v>
                </c:pt>
                <c:pt idx="2">
                  <c:v>50</c:v>
                </c:pt>
                <c:pt idx="3">
                  <c:v>55</c:v>
                </c:pt>
                <c:pt idx="4">
                  <c:v>60</c:v>
                </c:pt>
                <c:pt idx="5">
                  <c:v>65</c:v>
                </c:pt>
                <c:pt idx="6">
                  <c:v>70</c:v>
                </c:pt>
              </c:numCache>
            </c:numRef>
          </c:xVal>
          <c:yVal>
            <c:numRef>
              <c:f>Feuil1!$C$2:$I$2</c:f>
              <c:numCache>
                <c:formatCode>General</c:formatCode>
                <c:ptCount val="7"/>
                <c:pt idx="0">
                  <c:v>1</c:v>
                </c:pt>
                <c:pt idx="1">
                  <c:v>1.5</c:v>
                </c:pt>
                <c:pt idx="2">
                  <c:v>2</c:v>
                </c:pt>
                <c:pt idx="3">
                  <c:v>2.5</c:v>
                </c:pt>
                <c:pt idx="4">
                  <c:v>3</c:v>
                </c:pt>
                <c:pt idx="5">
                  <c:v>3.5</c:v>
                </c:pt>
                <c:pt idx="6">
                  <c:v>4</c:v>
                </c:pt>
              </c:numCache>
            </c:numRef>
          </c:yVal>
          <c:smooth val="1"/>
          <c:extLst>
            <c:ext xmlns:c16="http://schemas.microsoft.com/office/drawing/2014/chart" uri="{C3380CC4-5D6E-409C-BE32-E72D297353CC}">
              <c16:uniqueId val="{00000001-03E0-4FB0-B53D-3BC7BE266865}"/>
            </c:ext>
          </c:extLst>
        </c:ser>
        <c:dLbls>
          <c:showLegendKey val="0"/>
          <c:showVal val="0"/>
          <c:showCatName val="0"/>
          <c:showSerName val="0"/>
          <c:showPercent val="0"/>
          <c:showBubbleSize val="0"/>
        </c:dLbls>
        <c:axId val="341300472"/>
        <c:axId val="338310704"/>
      </c:scatterChart>
      <c:valAx>
        <c:axId val="341300472"/>
        <c:scaling>
          <c:orientation val="minMax"/>
          <c:min val="3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quantité en tonnes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310704"/>
        <c:crosses val="autoZero"/>
        <c:crossBetween val="midCat"/>
      </c:valAx>
      <c:valAx>
        <c:axId val="338310704"/>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Prix en €/kg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413004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270</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battu</dc:creator>
  <cp:keywords/>
  <dc:description/>
  <cp:lastModifiedBy>gaelle battu</cp:lastModifiedBy>
  <cp:revision>9</cp:revision>
  <dcterms:created xsi:type="dcterms:W3CDTF">2019-11-08T14:09:00Z</dcterms:created>
  <dcterms:modified xsi:type="dcterms:W3CDTF">2019-11-12T13:52:00Z</dcterms:modified>
</cp:coreProperties>
</file>