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B3B" w:rsidRPr="00853BB7" w:rsidRDefault="00853BB7" w:rsidP="00827DB0">
      <w:pPr>
        <w:rPr>
          <w:b/>
          <w:bCs/>
        </w:rPr>
      </w:pPr>
      <w:r w:rsidRPr="00853BB7">
        <w:rPr>
          <w:b/>
          <w:bCs/>
        </w:rPr>
        <w:t>Epreuve commune de contrôle continu</w:t>
      </w:r>
    </w:p>
    <w:p w:rsidR="00853BB7" w:rsidRPr="00853BB7" w:rsidRDefault="00853BB7" w:rsidP="00827DB0">
      <w:pPr>
        <w:rPr>
          <w:b/>
          <w:bCs/>
        </w:rPr>
      </w:pPr>
      <w:r w:rsidRPr="00853BB7">
        <w:rPr>
          <w:b/>
          <w:bCs/>
        </w:rPr>
        <w:t>Sciences Economiques et Sociales</w:t>
      </w:r>
    </w:p>
    <w:p w:rsidR="00853BB7" w:rsidRPr="00853BB7" w:rsidRDefault="00853BB7" w:rsidP="00827DB0">
      <w:r w:rsidRPr="00853BB7">
        <w:t>L’usage de la calculatrice est strictement interdit</w:t>
      </w:r>
    </w:p>
    <w:p w:rsidR="00682B3B" w:rsidRDefault="00682B3B" w:rsidP="00827DB0">
      <w:pPr>
        <w:rPr>
          <w:b/>
          <w:bCs/>
        </w:rPr>
      </w:pPr>
      <w:r w:rsidRPr="00853BB7">
        <w:rPr>
          <w:b/>
          <w:bCs/>
          <w:noProof/>
        </w:rPr>
        <w:drawing>
          <wp:inline distT="0" distB="0" distL="0" distR="0">
            <wp:extent cx="5273142" cy="1600200"/>
            <wp:effectExtent l="0" t="0" r="381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6">
                      <a:extLst>
                        <a:ext uri="{28A0092B-C50C-407E-A947-70E740481C1C}">
                          <a14:useLocalDpi xmlns:a14="http://schemas.microsoft.com/office/drawing/2010/main" val="0"/>
                        </a:ext>
                      </a:extLst>
                    </a:blip>
                    <a:srcRect l="4780" t="30928" r="4952" b="15482"/>
                    <a:stretch/>
                  </pic:blipFill>
                  <pic:spPr bwMode="auto">
                    <a:xfrm>
                      <a:off x="0" y="0"/>
                      <a:ext cx="5329099" cy="1617181"/>
                    </a:xfrm>
                    <a:prstGeom prst="rect">
                      <a:avLst/>
                    </a:prstGeom>
                    <a:noFill/>
                    <a:ln>
                      <a:noFill/>
                    </a:ln>
                    <a:extLst>
                      <a:ext uri="{53640926-AAD7-44D8-BBD7-CCE9431645EC}">
                        <a14:shadowObscured xmlns:a14="http://schemas.microsoft.com/office/drawing/2010/main"/>
                      </a:ext>
                    </a:extLst>
                  </pic:spPr>
                </pic:pic>
              </a:graphicData>
            </a:graphic>
          </wp:inline>
        </w:drawing>
      </w:r>
    </w:p>
    <w:p w:rsidR="00853BB7" w:rsidRPr="00853BB7" w:rsidRDefault="00853BB7" w:rsidP="00827DB0">
      <w:pPr>
        <w:rPr>
          <w:b/>
          <w:bCs/>
        </w:rPr>
      </w:pPr>
      <w:r>
        <w:rPr>
          <w:b/>
          <w:bCs/>
        </w:rPr>
        <w:t>Première partie : Mobilisation de connaissances et traitement de l’information (10 points)</w:t>
      </w:r>
    </w:p>
    <w:p w:rsidR="00853BB7" w:rsidRDefault="004C22E1" w:rsidP="00827DB0">
      <w:pPr>
        <w:rPr>
          <w:b/>
          <w:bCs/>
          <w:u w:val="single"/>
        </w:rPr>
      </w:pPr>
      <w:r w:rsidRPr="004C22E1">
        <w:rPr>
          <w:b/>
          <w:bCs/>
          <w:u w:val="single"/>
        </w:rPr>
        <w:t>Document</w:t>
      </w:r>
      <w:r w:rsidR="00825D5D">
        <w:rPr>
          <w:b/>
          <w:bCs/>
          <w:u w:val="single"/>
        </w:rPr>
        <w:t xml:space="preserve"> : </w:t>
      </w:r>
    </w:p>
    <w:p w:rsidR="00825D5D" w:rsidRDefault="00825D5D" w:rsidP="00827DB0">
      <w:pPr>
        <w:rPr>
          <w:b/>
          <w:bCs/>
          <w:u w:val="single"/>
        </w:rPr>
      </w:pPr>
      <w:r w:rsidRPr="00825D5D">
        <w:rPr>
          <w:i/>
          <w:iCs/>
        </w:rPr>
        <w:t>Activités physiques pratiquées par les élèves dans le cadre du sort scolaire, en %</w:t>
      </w:r>
      <w:r w:rsidR="00527E16">
        <w:rPr>
          <w:noProof/>
        </w:rPr>
        <w:drawing>
          <wp:anchor distT="0" distB="0" distL="114300" distR="114300" simplePos="0" relativeHeight="251662336" behindDoc="0" locked="0" layoutInCell="1" allowOverlap="1" wp14:anchorId="07EF19F4" wp14:editId="7AC34BED">
            <wp:simplePos x="0" y="0"/>
            <wp:positionH relativeFrom="margin">
              <wp:align>left</wp:align>
            </wp:positionH>
            <wp:positionV relativeFrom="paragraph">
              <wp:posOffset>169049</wp:posOffset>
            </wp:positionV>
            <wp:extent cx="4324350" cy="3514585"/>
            <wp:effectExtent l="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t="7302" b="22598"/>
                    <a:stretch/>
                  </pic:blipFill>
                  <pic:spPr bwMode="auto">
                    <a:xfrm>
                      <a:off x="0" y="0"/>
                      <a:ext cx="4324350" cy="3514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25D5D" w:rsidRDefault="00825D5D" w:rsidP="00827DB0">
      <w:pPr>
        <w:rPr>
          <w:b/>
          <w:bCs/>
          <w:u w:val="single"/>
        </w:rPr>
      </w:pPr>
    </w:p>
    <w:p w:rsidR="00825D5D" w:rsidRDefault="00825D5D" w:rsidP="00827DB0">
      <w:pPr>
        <w:rPr>
          <w:b/>
          <w:bCs/>
          <w:u w:val="single"/>
        </w:rPr>
      </w:pPr>
    </w:p>
    <w:p w:rsidR="00825D5D" w:rsidRDefault="00825D5D" w:rsidP="00827DB0">
      <w:pPr>
        <w:rPr>
          <w:b/>
          <w:bCs/>
          <w:u w:val="single"/>
        </w:rPr>
      </w:pPr>
    </w:p>
    <w:p w:rsidR="00825D5D" w:rsidRDefault="00825D5D" w:rsidP="00827DB0">
      <w:pPr>
        <w:rPr>
          <w:b/>
          <w:bCs/>
          <w:u w:val="single"/>
        </w:rPr>
      </w:pPr>
    </w:p>
    <w:p w:rsidR="00825D5D" w:rsidRDefault="00825D5D" w:rsidP="00827DB0">
      <w:pPr>
        <w:rPr>
          <w:b/>
          <w:bCs/>
          <w:u w:val="single"/>
        </w:rPr>
      </w:pPr>
    </w:p>
    <w:p w:rsidR="00825D5D" w:rsidRDefault="00825D5D" w:rsidP="00827DB0">
      <w:pPr>
        <w:rPr>
          <w:b/>
          <w:bCs/>
          <w:u w:val="single"/>
        </w:rPr>
      </w:pPr>
    </w:p>
    <w:p w:rsidR="00825D5D" w:rsidRDefault="00825D5D" w:rsidP="00827DB0">
      <w:pPr>
        <w:rPr>
          <w:b/>
          <w:bCs/>
          <w:u w:val="single"/>
        </w:rPr>
      </w:pPr>
    </w:p>
    <w:p w:rsidR="00825D5D" w:rsidRPr="004C22E1" w:rsidRDefault="00825D5D" w:rsidP="00827DB0">
      <w:pPr>
        <w:rPr>
          <w:b/>
          <w:bCs/>
          <w:u w:val="single"/>
        </w:rPr>
      </w:pPr>
    </w:p>
    <w:p w:rsidR="004C22E1" w:rsidRPr="004C22E1" w:rsidRDefault="004C22E1" w:rsidP="00827DB0">
      <w:pPr>
        <w:rPr>
          <w:b/>
          <w:bCs/>
        </w:rPr>
      </w:pPr>
    </w:p>
    <w:p w:rsidR="00827DB0" w:rsidRDefault="00827DB0">
      <w:r>
        <w:t>1-Expliquez pourquoi la pratique sportive contribue à la socialisation</w:t>
      </w:r>
    </w:p>
    <w:p w:rsidR="00827DB0" w:rsidRDefault="00827DB0">
      <w:r>
        <w:t xml:space="preserve">2-Comparez les activités sportives des filles et des garçons  </w:t>
      </w:r>
    </w:p>
    <w:p w:rsidR="00825D5D" w:rsidRDefault="00825D5D"/>
    <w:p w:rsidR="00D70602" w:rsidRDefault="00825D5D" w:rsidP="00D70602">
      <w:pPr>
        <w:spacing w:after="0" w:line="240" w:lineRule="auto"/>
        <w:rPr>
          <w:noProof/>
        </w:rPr>
      </w:pPr>
      <w:r>
        <w:rPr>
          <w:noProof/>
        </w:rPr>
        <w:t>APPN : actvité physique de peine nature (voile, canoë-kayak…)</w:t>
      </w:r>
    </w:p>
    <w:p w:rsidR="007C5104" w:rsidRDefault="00825D5D" w:rsidP="00D70602">
      <w:pPr>
        <w:spacing w:after="0" w:line="240" w:lineRule="auto"/>
        <w:rPr>
          <w:noProof/>
        </w:rPr>
      </w:pPr>
      <w:r>
        <w:rPr>
          <w:noProof/>
        </w:rPr>
        <w:t>ns : non significatif</w:t>
      </w:r>
    </w:p>
    <w:p w:rsidR="00825D5D" w:rsidRDefault="00825D5D" w:rsidP="00D70602">
      <w:pPr>
        <w:spacing w:after="0" w:line="240" w:lineRule="auto"/>
      </w:pPr>
      <w:r w:rsidRPr="00825D5D">
        <w:t>Combaz Gilles, Hoibian Olivier, « La pratique des activités physiques et sportives : les inégalités entre les filles et les garçons sont-elles plus réduites dans le cadre scolaire ? », </w:t>
      </w:r>
      <w:r w:rsidRPr="00825D5D">
        <w:rPr>
          <w:i/>
          <w:iCs/>
        </w:rPr>
        <w:t>Carrefours de l'éducation</w:t>
      </w:r>
      <w:r w:rsidRPr="00825D5D">
        <w:t>, 201</w:t>
      </w:r>
      <w:r w:rsidR="00527E16">
        <w:t>1</w:t>
      </w:r>
    </w:p>
    <w:p w:rsidR="00D70602" w:rsidRDefault="00D70602" w:rsidP="00D70602">
      <w:pPr>
        <w:spacing w:after="0" w:line="240" w:lineRule="auto"/>
      </w:pPr>
    </w:p>
    <w:p w:rsidR="00D70602" w:rsidRPr="00D70602" w:rsidRDefault="00D70602" w:rsidP="00527E16">
      <w:pPr>
        <w:spacing w:after="0" w:line="240" w:lineRule="auto"/>
        <w:rPr>
          <w:b/>
          <w:bCs/>
          <w:i/>
          <w:iCs/>
          <w:sz w:val="24"/>
          <w:szCs w:val="24"/>
        </w:rPr>
      </w:pPr>
      <w:r w:rsidRPr="00D70602">
        <w:rPr>
          <w:b/>
          <w:bCs/>
          <w:i/>
          <w:iCs/>
          <w:sz w:val="24"/>
          <w:szCs w:val="24"/>
        </w:rPr>
        <w:t>Questions :</w:t>
      </w:r>
    </w:p>
    <w:p w:rsidR="00D70602" w:rsidRPr="00D70602" w:rsidRDefault="00D70602" w:rsidP="00527E16">
      <w:pPr>
        <w:spacing w:after="0" w:line="240" w:lineRule="auto"/>
        <w:rPr>
          <w:b/>
          <w:bCs/>
          <w:i/>
          <w:iCs/>
        </w:rPr>
      </w:pPr>
    </w:p>
    <w:p w:rsidR="00527E16" w:rsidRDefault="00C14D1C" w:rsidP="00527E16">
      <w:pPr>
        <w:spacing w:after="0" w:line="240" w:lineRule="auto"/>
      </w:pPr>
      <w:r>
        <w:t>1- Expliquez pourquoi la pratique sportive contribue à la socialisation</w:t>
      </w:r>
    </w:p>
    <w:p w:rsidR="00C14D1C" w:rsidRDefault="00C14D1C" w:rsidP="00527E16">
      <w:pPr>
        <w:spacing w:after="0" w:line="240" w:lineRule="auto"/>
      </w:pPr>
      <w:r>
        <w:t xml:space="preserve">2- Comparez la pratique sportive des </w:t>
      </w:r>
      <w:r w:rsidR="00D70602">
        <w:t>filles et des garçons</w:t>
      </w:r>
    </w:p>
    <w:p w:rsidR="00D70602" w:rsidRDefault="00D70602" w:rsidP="00527E16">
      <w:pPr>
        <w:spacing w:after="0" w:line="240" w:lineRule="auto"/>
      </w:pPr>
      <w:r>
        <w:t>3-A l’aide du document, montrez que la socialisation est un phénomène différencié selon le genre (masculin ou féminin)</w:t>
      </w:r>
    </w:p>
    <w:p w:rsidR="00B84E2E" w:rsidRPr="00B84E2E" w:rsidRDefault="00B84E2E" w:rsidP="00B84E2E">
      <w:pPr>
        <w:spacing w:after="0" w:line="240" w:lineRule="auto"/>
        <w:rPr>
          <w:b/>
          <w:bCs/>
        </w:rPr>
      </w:pPr>
      <w:r w:rsidRPr="00B84E2E">
        <w:rPr>
          <w:b/>
          <w:bCs/>
        </w:rPr>
        <w:lastRenderedPageBreak/>
        <w:t>Seconde partie : raisonnement appuyé sur un dossier documentaire (10 points)</w:t>
      </w:r>
    </w:p>
    <w:p w:rsidR="00853BB7" w:rsidRDefault="00853BB7" w:rsidP="00B84E2E">
      <w:pPr>
        <w:spacing w:after="0" w:line="240" w:lineRule="auto"/>
      </w:pPr>
    </w:p>
    <w:p w:rsidR="00B84E2E" w:rsidRPr="00B84E2E" w:rsidRDefault="00B84E2E" w:rsidP="00B84E2E">
      <w:pPr>
        <w:spacing w:after="0" w:line="240" w:lineRule="auto"/>
      </w:pPr>
      <w:r w:rsidRPr="00B84E2E">
        <w:t>Sujet : A l’aide des documents et de vos connaissances, vous montrerez que l’attitude face au risque varie selon les groupes sociaux auxquels appartiennent les individus</w:t>
      </w:r>
    </w:p>
    <w:p w:rsidR="00853BB7" w:rsidRDefault="00853BB7" w:rsidP="00B84E2E">
      <w:pPr>
        <w:spacing w:after="0" w:line="240" w:lineRule="auto"/>
        <w:rPr>
          <w:b/>
          <w:bCs/>
        </w:rPr>
      </w:pPr>
    </w:p>
    <w:p w:rsidR="00B84E2E" w:rsidRDefault="00B84E2E" w:rsidP="00B84E2E">
      <w:pPr>
        <w:spacing w:after="0" w:line="240" w:lineRule="auto"/>
        <w:rPr>
          <w:b/>
          <w:bCs/>
        </w:rPr>
      </w:pPr>
      <w:r w:rsidRPr="00B84E2E">
        <w:rPr>
          <w:b/>
          <w:bCs/>
        </w:rPr>
        <w:t xml:space="preserve">Document 1- </w:t>
      </w:r>
    </w:p>
    <w:p w:rsidR="00853BB7" w:rsidRPr="00B84E2E" w:rsidRDefault="00853BB7" w:rsidP="00B84E2E">
      <w:pPr>
        <w:spacing w:after="0" w:line="240" w:lineRule="auto"/>
        <w:rPr>
          <w:b/>
          <w:bCs/>
        </w:rPr>
      </w:pPr>
    </w:p>
    <w:p w:rsidR="00B84E2E" w:rsidRPr="00B84E2E" w:rsidRDefault="00B84E2E" w:rsidP="00853BB7">
      <w:pPr>
        <w:spacing w:after="0" w:line="240" w:lineRule="auto"/>
        <w:jc w:val="both"/>
        <w:rPr>
          <w:rFonts w:ascii="Times New Roman" w:hAnsi="Times New Roman" w:cs="Times New Roman"/>
        </w:rPr>
      </w:pPr>
      <w:r w:rsidRPr="00B84E2E">
        <w:rPr>
          <w:rFonts w:ascii="Times New Roman" w:hAnsi="Times New Roman" w:cs="Times New Roman"/>
        </w:rPr>
        <w:t xml:space="preserve">En 2007, pour le même nombre de kilomètres parcourus, les femmes françaises avaient 3,7 fois moins de risque que les hommes d’être tuées, 1,7 fois moins de risque d’être blessées et 11,7 fois moins de risque d’être condamnées pour des délits routiers (ONISR, 2008). Dès l’âge de 6 ans, les enfants des deux sexes estiment que les garçons ont moins de risques d’accident que les filles, même s’ils sont engagés dans la même activité. Les filles se sentent plus vulnérables et expriment davantage d’appréhension face au risque d’accident. Les garçons estiment avoir moins de risque de blessures, perçoivent celles-ci comme moins graves), attribuent leurs accidents au manque de chance et expriment plus d’optimisme comparatif que les filles. Les hommes conducteurs, spécialement les plus jeunes, évaluent leurs compétences de conduite comme plus élevées, ont un sentiment de sécurité plus grand lors de la conduite et utilisent davantage celle-ci pour augmenter leur sentiment d’auto-efficacité </w:t>
      </w:r>
    </w:p>
    <w:p w:rsidR="00853BB7" w:rsidRDefault="00B84E2E" w:rsidP="00853BB7">
      <w:pPr>
        <w:spacing w:after="0" w:line="240" w:lineRule="auto"/>
        <w:jc w:val="both"/>
        <w:rPr>
          <w:rFonts w:ascii="Times New Roman" w:hAnsi="Times New Roman" w:cs="Times New Roman"/>
        </w:rPr>
      </w:pPr>
      <w:r w:rsidRPr="00B84E2E">
        <w:rPr>
          <w:rFonts w:ascii="Times New Roman" w:hAnsi="Times New Roman" w:cs="Times New Roman"/>
        </w:rPr>
        <w:t>De façon générale, cette différenciation sexuée dans la conformité se manifeste déjà dès la petite enfance, les filles étant plus conformes aux demandes et aux exigences des parents, des enseignants et des autres figures d’autorité.</w:t>
      </w:r>
    </w:p>
    <w:p w:rsidR="00B84E2E" w:rsidRPr="00B84E2E" w:rsidRDefault="00B84E2E" w:rsidP="00853BB7">
      <w:pPr>
        <w:spacing w:after="0" w:line="240" w:lineRule="auto"/>
        <w:jc w:val="both"/>
        <w:rPr>
          <w:rFonts w:ascii="Times New Roman" w:hAnsi="Times New Roman" w:cs="Times New Roman"/>
        </w:rPr>
      </w:pPr>
      <w:bookmarkStart w:id="0" w:name="_GoBack"/>
      <w:bookmarkEnd w:id="0"/>
      <w:r w:rsidRPr="00B84E2E">
        <w:rPr>
          <w:rFonts w:ascii="Times New Roman" w:hAnsi="Times New Roman" w:cs="Times New Roman"/>
        </w:rPr>
        <w:t xml:space="preserve"> </w:t>
      </w:r>
    </w:p>
    <w:p w:rsidR="00B84E2E" w:rsidRPr="00B84E2E" w:rsidRDefault="00B84E2E" w:rsidP="00B84E2E">
      <w:pPr>
        <w:spacing w:after="0" w:line="240" w:lineRule="auto"/>
      </w:pPr>
      <w:r w:rsidRPr="00B84E2E">
        <w:t>Marie-Axelle </w:t>
      </w:r>
      <w:proofErr w:type="spellStart"/>
      <w:r w:rsidRPr="00B84E2E">
        <w:t>Granie</w:t>
      </w:r>
      <w:proofErr w:type="spellEnd"/>
      <w:r w:rsidRPr="00B84E2E">
        <w:t>, « Genre et rapport au risque : de la compréhension au levier pour l’action », </w:t>
      </w:r>
      <w:r w:rsidRPr="00B84E2E">
        <w:rPr>
          <w:i/>
          <w:iCs/>
        </w:rPr>
        <w:t>Questions Vives</w:t>
      </w:r>
      <w:r w:rsidRPr="00B84E2E">
        <w:t> [En ligne], Vol.9 n°19 | 2013</w:t>
      </w:r>
    </w:p>
    <w:p w:rsidR="00853BB7" w:rsidRDefault="00853BB7" w:rsidP="00B84E2E">
      <w:pPr>
        <w:spacing w:after="0" w:line="240" w:lineRule="auto"/>
        <w:rPr>
          <w:b/>
          <w:bCs/>
        </w:rPr>
      </w:pPr>
    </w:p>
    <w:p w:rsidR="00B84E2E" w:rsidRPr="00B84E2E" w:rsidRDefault="00B84E2E" w:rsidP="00B84E2E">
      <w:pPr>
        <w:spacing w:after="0" w:line="240" w:lineRule="auto"/>
        <w:rPr>
          <w:b/>
          <w:bCs/>
        </w:rPr>
      </w:pPr>
      <w:r w:rsidRPr="00B84E2E">
        <w:rPr>
          <w:b/>
          <w:bCs/>
        </w:rPr>
        <w:t xml:space="preserve">Document 2- </w:t>
      </w:r>
    </w:p>
    <w:p w:rsidR="00B84E2E" w:rsidRPr="00B84E2E" w:rsidRDefault="00B84E2E" w:rsidP="00B84E2E">
      <w:pPr>
        <w:spacing w:after="0" w:line="240" w:lineRule="auto"/>
      </w:pPr>
      <w:r w:rsidRPr="00B84E2E">
        <w:drawing>
          <wp:inline distT="0" distB="0" distL="0" distR="0" wp14:anchorId="33E7AB46" wp14:editId="59A26FAC">
            <wp:extent cx="2476500" cy="4169704"/>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503" b="5758"/>
                    <a:stretch/>
                  </pic:blipFill>
                  <pic:spPr bwMode="auto">
                    <a:xfrm>
                      <a:off x="0" y="0"/>
                      <a:ext cx="2498078" cy="4206036"/>
                    </a:xfrm>
                    <a:prstGeom prst="rect">
                      <a:avLst/>
                    </a:prstGeom>
                    <a:noFill/>
                    <a:ln>
                      <a:noFill/>
                    </a:ln>
                    <a:extLst>
                      <a:ext uri="{53640926-AAD7-44D8-BBD7-CCE9431645EC}">
                        <a14:shadowObscured xmlns:a14="http://schemas.microsoft.com/office/drawing/2010/main"/>
                      </a:ext>
                    </a:extLst>
                  </pic:spPr>
                </pic:pic>
              </a:graphicData>
            </a:graphic>
          </wp:inline>
        </w:drawing>
      </w:r>
    </w:p>
    <w:p w:rsidR="00B84E2E" w:rsidRPr="00B84E2E" w:rsidRDefault="00B84E2E" w:rsidP="00B84E2E">
      <w:pPr>
        <w:spacing w:after="0" w:line="240" w:lineRule="auto"/>
      </w:pPr>
      <w:hyperlink r:id="rId9" w:history="1">
        <w:r w:rsidRPr="00B84E2E">
          <w:rPr>
            <w:rStyle w:val="Lienhypertexte"/>
          </w:rPr>
          <w:t>https://www.permisapoints.fr/actualites/hommes-vs-femmes-accidents-de-la-route-160606</w:t>
        </w:r>
      </w:hyperlink>
    </w:p>
    <w:p w:rsidR="00B84E2E" w:rsidRDefault="00B84E2E" w:rsidP="00527E16">
      <w:pPr>
        <w:spacing w:after="0" w:line="240" w:lineRule="auto"/>
      </w:pPr>
    </w:p>
    <w:sectPr w:rsidR="00B84E2E" w:rsidSect="00853BB7">
      <w:footerReference w:type="default" r:id="rId10"/>
      <w:pgSz w:w="12240" w:h="15840"/>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BB7" w:rsidRDefault="00853BB7" w:rsidP="00853BB7">
      <w:pPr>
        <w:spacing w:after="0" w:line="240" w:lineRule="auto"/>
      </w:pPr>
      <w:r>
        <w:separator/>
      </w:r>
    </w:p>
  </w:endnote>
  <w:endnote w:type="continuationSeparator" w:id="0">
    <w:p w:rsidR="00853BB7" w:rsidRDefault="00853BB7" w:rsidP="0085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942907"/>
      <w:docPartObj>
        <w:docPartGallery w:val="Page Numbers (Bottom of Page)"/>
        <w:docPartUnique/>
      </w:docPartObj>
    </w:sdtPr>
    <w:sdtContent>
      <w:sdt>
        <w:sdtPr>
          <w:id w:val="1728636285"/>
          <w:docPartObj>
            <w:docPartGallery w:val="Page Numbers (Top of Page)"/>
            <w:docPartUnique/>
          </w:docPartObj>
        </w:sdtPr>
        <w:sdtContent>
          <w:p w:rsidR="00853BB7" w:rsidRDefault="00853BB7">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853BB7" w:rsidRDefault="00853B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BB7" w:rsidRDefault="00853BB7" w:rsidP="00853BB7">
      <w:pPr>
        <w:spacing w:after="0" w:line="240" w:lineRule="auto"/>
      </w:pPr>
      <w:r>
        <w:separator/>
      </w:r>
    </w:p>
  </w:footnote>
  <w:footnote w:type="continuationSeparator" w:id="0">
    <w:p w:rsidR="00853BB7" w:rsidRDefault="00853BB7" w:rsidP="00853B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91"/>
    <w:rsid w:val="003F0F9C"/>
    <w:rsid w:val="00474081"/>
    <w:rsid w:val="004C22E1"/>
    <w:rsid w:val="00527E16"/>
    <w:rsid w:val="00682B3B"/>
    <w:rsid w:val="007C5104"/>
    <w:rsid w:val="00825D5D"/>
    <w:rsid w:val="00827DB0"/>
    <w:rsid w:val="00853BB7"/>
    <w:rsid w:val="00B84E2E"/>
    <w:rsid w:val="00C14D1C"/>
    <w:rsid w:val="00D33A9E"/>
    <w:rsid w:val="00D70602"/>
    <w:rsid w:val="00D94E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39D4"/>
  <w15:chartTrackingRefBased/>
  <w15:docId w15:val="{6118F2E9-E920-400F-BCC4-BB99DFD1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C5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84E2E"/>
    <w:rPr>
      <w:color w:val="0563C1" w:themeColor="hyperlink"/>
      <w:u w:val="single"/>
    </w:rPr>
  </w:style>
  <w:style w:type="character" w:styleId="Mentionnonrsolue">
    <w:name w:val="Unresolved Mention"/>
    <w:basedOn w:val="Policepardfaut"/>
    <w:uiPriority w:val="99"/>
    <w:semiHidden/>
    <w:unhideWhenUsed/>
    <w:rsid w:val="00B84E2E"/>
    <w:rPr>
      <w:color w:val="605E5C"/>
      <w:shd w:val="clear" w:color="auto" w:fill="E1DFDD"/>
    </w:rPr>
  </w:style>
  <w:style w:type="paragraph" w:styleId="En-tte">
    <w:name w:val="header"/>
    <w:basedOn w:val="Normal"/>
    <w:link w:val="En-tteCar"/>
    <w:uiPriority w:val="99"/>
    <w:unhideWhenUsed/>
    <w:rsid w:val="00853BB7"/>
    <w:pPr>
      <w:tabs>
        <w:tab w:val="center" w:pos="4703"/>
        <w:tab w:val="right" w:pos="9406"/>
      </w:tabs>
      <w:spacing w:after="0" w:line="240" w:lineRule="auto"/>
    </w:pPr>
  </w:style>
  <w:style w:type="character" w:customStyle="1" w:styleId="En-tteCar">
    <w:name w:val="En-tête Car"/>
    <w:basedOn w:val="Policepardfaut"/>
    <w:link w:val="En-tte"/>
    <w:uiPriority w:val="99"/>
    <w:rsid w:val="00853BB7"/>
  </w:style>
  <w:style w:type="paragraph" w:styleId="Pieddepage">
    <w:name w:val="footer"/>
    <w:basedOn w:val="Normal"/>
    <w:link w:val="PieddepageCar"/>
    <w:uiPriority w:val="99"/>
    <w:unhideWhenUsed/>
    <w:rsid w:val="00853BB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853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0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permisapoints.fr/actualites/hommes-vs-femmes-accidents-de-la-route-16060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440</Words>
  <Characters>2421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LY</dc:creator>
  <cp:keywords/>
  <dc:description/>
  <cp:lastModifiedBy>Jean-Luc LY</cp:lastModifiedBy>
  <cp:revision>5</cp:revision>
  <cp:lastPrinted>2019-11-03T10:05:00Z</cp:lastPrinted>
  <dcterms:created xsi:type="dcterms:W3CDTF">2019-11-03T09:55:00Z</dcterms:created>
  <dcterms:modified xsi:type="dcterms:W3CDTF">2019-11-03T11:53:00Z</dcterms:modified>
</cp:coreProperties>
</file>