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94E79" w14:textId="0EE94A68" w:rsidR="00F5105B" w:rsidRDefault="00F5105B">
      <w:pPr>
        <w:rPr>
          <w:b/>
        </w:rPr>
      </w:pPr>
    </w:p>
    <w:p w14:paraId="26D83C31" w14:textId="615F5386" w:rsidR="00F5105B" w:rsidRDefault="00F5105B">
      <w:pPr>
        <w:rPr>
          <w:b/>
        </w:rPr>
      </w:pPr>
      <w:r>
        <w:rPr>
          <w:b/>
        </w:rPr>
        <w:t>Questions de l’épreuve composée, parties 2 et 1 sur le thème de la structure sociale</w:t>
      </w:r>
    </w:p>
    <w:p w14:paraId="6BC56D0C" w14:textId="166591C8" w:rsidR="00E73710" w:rsidRDefault="00A86351">
      <w:pPr>
        <w:rPr>
          <w:b/>
        </w:rPr>
      </w:pPr>
      <w:r w:rsidRPr="00A86351">
        <w:rPr>
          <w:b/>
        </w:rPr>
        <w:t>Deuxième partie : Etude d’un document (6 points)</w:t>
      </w:r>
    </w:p>
    <w:p w14:paraId="0FF56078" w14:textId="77777777" w:rsidR="00A86351" w:rsidRPr="00A86351" w:rsidRDefault="00A86351">
      <w:pPr>
        <w:rPr>
          <w:b/>
        </w:rPr>
      </w:pPr>
    </w:p>
    <w:p w14:paraId="53829FDA" w14:textId="77777777" w:rsidR="000225C3" w:rsidRPr="00A86351" w:rsidRDefault="00E4208A" w:rsidP="00A86351">
      <w:pPr>
        <w:spacing w:after="0"/>
        <w:rPr>
          <w:rFonts w:ascii="Times New Roman" w:hAnsi="Times New Roman" w:cs="Times New Roman"/>
        </w:rPr>
      </w:pPr>
      <w:r w:rsidRPr="00A86351">
        <w:rPr>
          <w:rFonts w:ascii="Times New Roman" w:hAnsi="Times New Roman" w:cs="Times New Roman"/>
        </w:rPr>
        <w:t>Evolution de la répartition de la population active en Professions et catégories socio-professionnelles</w:t>
      </w:r>
    </w:p>
    <w:p w14:paraId="553B5A3E" w14:textId="77777777" w:rsidR="00A86351" w:rsidRPr="00A86351" w:rsidRDefault="00A86351" w:rsidP="00A863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>e</w:t>
      </w:r>
      <w:r w:rsidRPr="00A86351">
        <w:rPr>
          <w:rFonts w:ascii="Times New Roman" w:hAnsi="Times New Roman" w:cs="Times New Roman"/>
        </w:rPr>
        <w:t>n</w:t>
      </w:r>
      <w:proofErr w:type="gramEnd"/>
      <w:r w:rsidRPr="00A86351">
        <w:rPr>
          <w:rFonts w:ascii="Times New Roman" w:hAnsi="Times New Roman" w:cs="Times New Roman"/>
        </w:rPr>
        <w:t xml:space="preserve"> France entre  1954 et 2019</w:t>
      </w:r>
    </w:p>
    <w:p w14:paraId="6101D383" w14:textId="77777777" w:rsidR="000225C3" w:rsidRPr="00A86351" w:rsidRDefault="000225C3" w:rsidP="00A86351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1416"/>
        <w:gridCol w:w="1416"/>
        <w:gridCol w:w="1474"/>
        <w:gridCol w:w="1858"/>
      </w:tblGrid>
      <w:tr w:rsidR="00E4208A" w:rsidRPr="005E20F8" w14:paraId="1683C6A9" w14:textId="77777777" w:rsidTr="00E4208A">
        <w:tc>
          <w:tcPr>
            <w:tcW w:w="2552" w:type="dxa"/>
            <w:vMerge w:val="restart"/>
          </w:tcPr>
          <w:p w14:paraId="1E1C4460" w14:textId="77777777" w:rsidR="00E4208A" w:rsidRPr="00A86351" w:rsidRDefault="00E4208A" w:rsidP="00A863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6351">
              <w:rPr>
                <w:rFonts w:ascii="Times New Roman" w:hAnsi="Times New Roman" w:cs="Times New Roman"/>
                <w:b/>
                <w:i/>
              </w:rPr>
              <w:t>En %</w:t>
            </w:r>
          </w:p>
        </w:tc>
        <w:tc>
          <w:tcPr>
            <w:tcW w:w="1416" w:type="dxa"/>
            <w:vMerge w:val="restart"/>
          </w:tcPr>
          <w:p w14:paraId="3D77CD0C" w14:textId="77777777" w:rsidR="00E4208A" w:rsidRPr="005E20F8" w:rsidRDefault="00E4208A" w:rsidP="00022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0F8">
              <w:rPr>
                <w:rFonts w:ascii="Times New Roman" w:hAnsi="Times New Roman" w:cs="Times New Roman"/>
                <w:b/>
              </w:rPr>
              <w:t>1954</w:t>
            </w:r>
          </w:p>
        </w:tc>
        <w:tc>
          <w:tcPr>
            <w:tcW w:w="1416" w:type="dxa"/>
            <w:vMerge w:val="restart"/>
          </w:tcPr>
          <w:p w14:paraId="38022BB6" w14:textId="77777777" w:rsidR="00E4208A" w:rsidRPr="005E20F8" w:rsidRDefault="00E4208A" w:rsidP="00022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0F8">
              <w:rPr>
                <w:rFonts w:ascii="Times New Roman" w:hAnsi="Times New Roman" w:cs="Times New Roman"/>
                <w:b/>
              </w:rPr>
              <w:t>1975</w:t>
            </w:r>
          </w:p>
        </w:tc>
        <w:tc>
          <w:tcPr>
            <w:tcW w:w="3332" w:type="dxa"/>
            <w:gridSpan w:val="2"/>
          </w:tcPr>
          <w:p w14:paraId="4653C39A" w14:textId="77777777" w:rsidR="00E4208A" w:rsidRPr="005E20F8" w:rsidRDefault="00A86351" w:rsidP="00A863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E4208A" w:rsidRPr="005E20F8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E4208A" w:rsidRPr="005E20F8" w14:paraId="5C0853BC" w14:textId="77777777" w:rsidTr="00E4208A">
        <w:tc>
          <w:tcPr>
            <w:tcW w:w="2552" w:type="dxa"/>
            <w:vMerge/>
          </w:tcPr>
          <w:p w14:paraId="58690175" w14:textId="77777777" w:rsidR="00E4208A" w:rsidRPr="005E20F8" w:rsidRDefault="00E4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4F69CAF5" w14:textId="77777777" w:rsidR="00E4208A" w:rsidRPr="005E20F8" w:rsidRDefault="00E4208A" w:rsidP="000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289BF099" w14:textId="77777777" w:rsidR="00E4208A" w:rsidRPr="005E20F8" w:rsidRDefault="00E4208A" w:rsidP="000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169DE06" w14:textId="77777777" w:rsidR="00E4208A" w:rsidRPr="005E20F8" w:rsidRDefault="00E4208A" w:rsidP="000225C3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Ensemble</w:t>
            </w:r>
          </w:p>
        </w:tc>
        <w:tc>
          <w:tcPr>
            <w:tcW w:w="1858" w:type="dxa"/>
          </w:tcPr>
          <w:p w14:paraId="557747BF" w14:textId="77777777" w:rsidR="00E4208A" w:rsidRPr="005E20F8" w:rsidRDefault="00E4208A" w:rsidP="0002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de </w:t>
            </w:r>
            <w:r w:rsidRPr="005E20F8">
              <w:rPr>
                <w:rFonts w:ascii="Times New Roman" w:hAnsi="Times New Roman" w:cs="Times New Roman"/>
              </w:rPr>
              <w:t>Femmes</w:t>
            </w:r>
            <w:r>
              <w:rPr>
                <w:rFonts w:ascii="Times New Roman" w:hAnsi="Times New Roman" w:cs="Times New Roman"/>
              </w:rPr>
              <w:t xml:space="preserve"> dans la PCS</w:t>
            </w:r>
          </w:p>
        </w:tc>
      </w:tr>
      <w:tr w:rsidR="00E4208A" w:rsidRPr="005E20F8" w14:paraId="55182EB7" w14:textId="77777777" w:rsidTr="00E4208A">
        <w:tc>
          <w:tcPr>
            <w:tcW w:w="2552" w:type="dxa"/>
          </w:tcPr>
          <w:p w14:paraId="46814770" w14:textId="77777777" w:rsidR="00E4208A" w:rsidRPr="005E20F8" w:rsidRDefault="00E4208A">
            <w:pPr>
              <w:rPr>
                <w:rFonts w:ascii="Times New Roman" w:hAnsi="Times New Roman" w:cs="Times New Roman"/>
                <w:b/>
                <w:i/>
              </w:rPr>
            </w:pPr>
            <w:r w:rsidRPr="005E20F8">
              <w:rPr>
                <w:rFonts w:ascii="Times New Roman" w:hAnsi="Times New Roman" w:cs="Times New Roman"/>
                <w:b/>
                <w:i/>
              </w:rPr>
              <w:t>Agriculteurs exploitants</w:t>
            </w:r>
          </w:p>
        </w:tc>
        <w:tc>
          <w:tcPr>
            <w:tcW w:w="1416" w:type="dxa"/>
            <w:vAlign w:val="center"/>
          </w:tcPr>
          <w:p w14:paraId="689E5BFE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6" w:type="dxa"/>
            <w:vAlign w:val="center"/>
          </w:tcPr>
          <w:p w14:paraId="1E3C03FB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vAlign w:val="center"/>
          </w:tcPr>
          <w:p w14:paraId="7F716C74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58" w:type="dxa"/>
            <w:vAlign w:val="center"/>
          </w:tcPr>
          <w:p w14:paraId="3D5A87CA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4208A" w:rsidRPr="005E20F8" w14:paraId="51F78114" w14:textId="77777777" w:rsidTr="00E4208A">
        <w:tc>
          <w:tcPr>
            <w:tcW w:w="2552" w:type="dxa"/>
          </w:tcPr>
          <w:p w14:paraId="1BC5169F" w14:textId="77777777" w:rsidR="00E4208A" w:rsidRPr="005E20F8" w:rsidRDefault="00E4208A">
            <w:pPr>
              <w:rPr>
                <w:rFonts w:ascii="Times New Roman" w:hAnsi="Times New Roman" w:cs="Times New Roman"/>
                <w:b/>
                <w:i/>
              </w:rPr>
            </w:pPr>
            <w:r w:rsidRPr="005E20F8">
              <w:rPr>
                <w:rFonts w:ascii="Times New Roman" w:hAnsi="Times New Roman" w:cs="Times New Roman"/>
                <w:b/>
                <w:i/>
              </w:rPr>
              <w:t>Artisans, commerçants, chefs d’entreprise</w:t>
            </w:r>
          </w:p>
        </w:tc>
        <w:tc>
          <w:tcPr>
            <w:tcW w:w="1416" w:type="dxa"/>
            <w:vAlign w:val="center"/>
          </w:tcPr>
          <w:p w14:paraId="73019A11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vAlign w:val="center"/>
          </w:tcPr>
          <w:p w14:paraId="1F8062E2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vAlign w:val="center"/>
          </w:tcPr>
          <w:p w14:paraId="1B5E3060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858" w:type="dxa"/>
            <w:vAlign w:val="center"/>
          </w:tcPr>
          <w:p w14:paraId="0772962A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4208A" w:rsidRPr="005E20F8" w14:paraId="42B67F90" w14:textId="77777777" w:rsidTr="00E4208A">
        <w:tc>
          <w:tcPr>
            <w:tcW w:w="2552" w:type="dxa"/>
          </w:tcPr>
          <w:p w14:paraId="1F1FC278" w14:textId="77777777" w:rsidR="00E4208A" w:rsidRPr="005E20F8" w:rsidRDefault="00E4208A">
            <w:pPr>
              <w:rPr>
                <w:rFonts w:ascii="Times New Roman" w:hAnsi="Times New Roman" w:cs="Times New Roman"/>
                <w:b/>
                <w:i/>
              </w:rPr>
            </w:pPr>
            <w:r w:rsidRPr="005E20F8">
              <w:rPr>
                <w:rFonts w:ascii="Times New Roman" w:hAnsi="Times New Roman" w:cs="Times New Roman"/>
                <w:b/>
                <w:i/>
              </w:rPr>
              <w:t>Cadres et professions intellectuelles supérieurs</w:t>
            </w:r>
          </w:p>
        </w:tc>
        <w:tc>
          <w:tcPr>
            <w:tcW w:w="1416" w:type="dxa"/>
            <w:vAlign w:val="center"/>
          </w:tcPr>
          <w:p w14:paraId="20744625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Align w:val="center"/>
          </w:tcPr>
          <w:p w14:paraId="27B3B709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vAlign w:val="center"/>
          </w:tcPr>
          <w:p w14:paraId="34819396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858" w:type="dxa"/>
            <w:vAlign w:val="center"/>
          </w:tcPr>
          <w:p w14:paraId="6A07A79F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4208A" w:rsidRPr="005E20F8" w14:paraId="0B59D9B3" w14:textId="77777777" w:rsidTr="00E4208A">
        <w:tc>
          <w:tcPr>
            <w:tcW w:w="2552" w:type="dxa"/>
          </w:tcPr>
          <w:p w14:paraId="6E489A5D" w14:textId="77777777" w:rsidR="00E4208A" w:rsidRPr="005E20F8" w:rsidRDefault="00E4208A">
            <w:pPr>
              <w:rPr>
                <w:rFonts w:ascii="Times New Roman" w:hAnsi="Times New Roman" w:cs="Times New Roman"/>
                <w:b/>
                <w:i/>
              </w:rPr>
            </w:pPr>
            <w:r w:rsidRPr="005E20F8">
              <w:rPr>
                <w:rFonts w:ascii="Times New Roman" w:hAnsi="Times New Roman" w:cs="Times New Roman"/>
                <w:b/>
                <w:i/>
              </w:rPr>
              <w:t>Professions intermédiaires</w:t>
            </w:r>
          </w:p>
        </w:tc>
        <w:tc>
          <w:tcPr>
            <w:tcW w:w="1416" w:type="dxa"/>
            <w:vAlign w:val="center"/>
          </w:tcPr>
          <w:p w14:paraId="7256E6EE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vAlign w:val="center"/>
          </w:tcPr>
          <w:p w14:paraId="0AE63020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4" w:type="dxa"/>
            <w:vAlign w:val="center"/>
          </w:tcPr>
          <w:p w14:paraId="3BD0F240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858" w:type="dxa"/>
            <w:vAlign w:val="center"/>
          </w:tcPr>
          <w:p w14:paraId="59EA44AF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4208A" w:rsidRPr="005E20F8" w14:paraId="36C81057" w14:textId="77777777" w:rsidTr="00E4208A">
        <w:tc>
          <w:tcPr>
            <w:tcW w:w="2552" w:type="dxa"/>
          </w:tcPr>
          <w:p w14:paraId="11015FA1" w14:textId="77777777" w:rsidR="00E4208A" w:rsidRPr="005E20F8" w:rsidRDefault="00E4208A">
            <w:pPr>
              <w:rPr>
                <w:rFonts w:ascii="Times New Roman" w:hAnsi="Times New Roman" w:cs="Times New Roman"/>
                <w:b/>
                <w:i/>
              </w:rPr>
            </w:pPr>
            <w:r w:rsidRPr="005E20F8">
              <w:rPr>
                <w:rFonts w:ascii="Times New Roman" w:hAnsi="Times New Roman" w:cs="Times New Roman"/>
                <w:b/>
                <w:i/>
              </w:rPr>
              <w:t>Employés</w:t>
            </w:r>
          </w:p>
          <w:p w14:paraId="7CBE4E6B" w14:textId="77777777" w:rsidR="00E4208A" w:rsidRPr="005E20F8" w:rsidRDefault="00E4208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6" w:type="dxa"/>
            <w:vAlign w:val="center"/>
          </w:tcPr>
          <w:p w14:paraId="2BD36226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vAlign w:val="center"/>
          </w:tcPr>
          <w:p w14:paraId="67690845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4" w:type="dxa"/>
            <w:vAlign w:val="center"/>
          </w:tcPr>
          <w:p w14:paraId="436F2F4F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858" w:type="dxa"/>
            <w:vAlign w:val="center"/>
          </w:tcPr>
          <w:p w14:paraId="1B76C74A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4208A" w:rsidRPr="005E20F8" w14:paraId="5F236062" w14:textId="77777777" w:rsidTr="00E4208A">
        <w:tc>
          <w:tcPr>
            <w:tcW w:w="2552" w:type="dxa"/>
          </w:tcPr>
          <w:p w14:paraId="3427A4C2" w14:textId="77777777" w:rsidR="00E4208A" w:rsidRPr="005E20F8" w:rsidRDefault="00E4208A">
            <w:pPr>
              <w:rPr>
                <w:rFonts w:ascii="Times New Roman" w:hAnsi="Times New Roman" w:cs="Times New Roman"/>
                <w:b/>
                <w:i/>
              </w:rPr>
            </w:pPr>
            <w:r w:rsidRPr="005E20F8">
              <w:rPr>
                <w:rFonts w:ascii="Times New Roman" w:hAnsi="Times New Roman" w:cs="Times New Roman"/>
                <w:b/>
                <w:i/>
              </w:rPr>
              <w:t>Ouvriers</w:t>
            </w:r>
          </w:p>
          <w:p w14:paraId="6FE8876E" w14:textId="77777777" w:rsidR="00E4208A" w:rsidRPr="005E20F8" w:rsidRDefault="00E4208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6" w:type="dxa"/>
            <w:vAlign w:val="center"/>
          </w:tcPr>
          <w:p w14:paraId="46A088D0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6" w:type="dxa"/>
            <w:vAlign w:val="center"/>
          </w:tcPr>
          <w:p w14:paraId="17AD652A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4" w:type="dxa"/>
            <w:vAlign w:val="center"/>
          </w:tcPr>
          <w:p w14:paraId="720EA850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858" w:type="dxa"/>
            <w:vAlign w:val="center"/>
          </w:tcPr>
          <w:p w14:paraId="375BFDC6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4208A" w:rsidRPr="005E20F8" w14:paraId="6AA765CA" w14:textId="77777777" w:rsidTr="00E4208A">
        <w:tc>
          <w:tcPr>
            <w:tcW w:w="2552" w:type="dxa"/>
          </w:tcPr>
          <w:p w14:paraId="6B356611" w14:textId="77777777" w:rsidR="00E4208A" w:rsidRPr="005E20F8" w:rsidRDefault="00E4208A">
            <w:pPr>
              <w:rPr>
                <w:rFonts w:ascii="Times New Roman" w:hAnsi="Times New Roman" w:cs="Times New Roman"/>
                <w:b/>
                <w:i/>
              </w:rPr>
            </w:pPr>
            <w:r w:rsidRPr="005E20F8">
              <w:rPr>
                <w:rFonts w:ascii="Times New Roman" w:hAnsi="Times New Roman" w:cs="Times New Roman"/>
                <w:b/>
                <w:i/>
              </w:rPr>
              <w:t>Total population active</w:t>
            </w:r>
          </w:p>
        </w:tc>
        <w:tc>
          <w:tcPr>
            <w:tcW w:w="1416" w:type="dxa"/>
            <w:vAlign w:val="center"/>
          </w:tcPr>
          <w:p w14:paraId="7A998B8A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  <w:vAlign w:val="center"/>
          </w:tcPr>
          <w:p w14:paraId="6F8B2697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4" w:type="dxa"/>
            <w:vAlign w:val="center"/>
          </w:tcPr>
          <w:p w14:paraId="485459A1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 w:rsidRPr="005E2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vAlign w:val="center"/>
          </w:tcPr>
          <w:p w14:paraId="66FF492E" w14:textId="77777777" w:rsidR="00E4208A" w:rsidRPr="005E20F8" w:rsidRDefault="00E4208A" w:rsidP="005E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14:paraId="32F8EECB" w14:textId="77777777" w:rsidR="000225C3" w:rsidRPr="005E20F8" w:rsidRDefault="00A86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Source : INSEE, enquête FQP  2019</w:t>
      </w:r>
    </w:p>
    <w:p w14:paraId="12EDB79E" w14:textId="77777777" w:rsidR="000225C3" w:rsidRPr="000225C3" w:rsidRDefault="000225C3" w:rsidP="000225C3">
      <w:pPr>
        <w:tabs>
          <w:tab w:val="left" w:pos="915"/>
        </w:tabs>
      </w:pPr>
    </w:p>
    <w:p w14:paraId="44A9E205" w14:textId="77777777" w:rsidR="00A86351" w:rsidRDefault="00D46AF3" w:rsidP="000225C3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D46AF3">
        <w:rPr>
          <w:rFonts w:ascii="Times New Roman" w:hAnsi="Times New Roman" w:cs="Times New Roman"/>
          <w:sz w:val="24"/>
          <w:szCs w:val="24"/>
        </w:rPr>
        <w:t xml:space="preserve">1 – </w:t>
      </w:r>
      <w:r w:rsidR="00A86351">
        <w:rPr>
          <w:rFonts w:ascii="Times New Roman" w:hAnsi="Times New Roman" w:cs="Times New Roman"/>
          <w:sz w:val="24"/>
          <w:szCs w:val="24"/>
        </w:rPr>
        <w:t xml:space="preserve">Comparez la part des femmes dans les différentes PCS en 2019.   2 points </w:t>
      </w:r>
    </w:p>
    <w:p w14:paraId="4450A771" w14:textId="77777777" w:rsidR="00D46AF3" w:rsidRDefault="00D46AF3" w:rsidP="000225C3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D46AF3">
        <w:rPr>
          <w:rFonts w:ascii="Times New Roman" w:hAnsi="Times New Roman" w:cs="Times New Roman"/>
          <w:sz w:val="24"/>
          <w:szCs w:val="24"/>
        </w:rPr>
        <w:t xml:space="preserve">2 – A l’aide du document et de vos connaissances, </w:t>
      </w:r>
      <w:r w:rsidR="00A86351">
        <w:rPr>
          <w:rFonts w:ascii="Times New Roman" w:hAnsi="Times New Roman" w:cs="Times New Roman"/>
          <w:sz w:val="24"/>
          <w:szCs w:val="24"/>
        </w:rPr>
        <w:t>présentez</w:t>
      </w:r>
      <w:r w:rsidRPr="00D46AF3">
        <w:rPr>
          <w:rFonts w:ascii="Times New Roman" w:hAnsi="Times New Roman" w:cs="Times New Roman"/>
          <w:sz w:val="24"/>
          <w:szCs w:val="24"/>
        </w:rPr>
        <w:t xml:space="preserve"> les principales évolutions </w:t>
      </w:r>
      <w:r w:rsidR="00A86351">
        <w:rPr>
          <w:rFonts w:ascii="Times New Roman" w:hAnsi="Times New Roman" w:cs="Times New Roman"/>
          <w:sz w:val="24"/>
          <w:szCs w:val="24"/>
        </w:rPr>
        <w:t>de la structure socio-professionnelle française entre 1954 et 2019     4 points</w:t>
      </w:r>
    </w:p>
    <w:p w14:paraId="65347AC8" w14:textId="77777777" w:rsidR="00A86351" w:rsidRDefault="00A86351" w:rsidP="000225C3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2957379B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11FCECD5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2F1671B6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0B150DCA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41BEBA7A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4D04A7B9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46A33009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7D769C36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4A53C6BE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0AFC3C12" w14:textId="77777777" w:rsidR="00914037" w:rsidRDefault="00914037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0999383D" w14:textId="77777777" w:rsidR="00A86351" w:rsidRPr="00914037" w:rsidRDefault="00616B35" w:rsidP="000225C3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914037">
        <w:rPr>
          <w:rFonts w:ascii="Times New Roman" w:hAnsi="Times New Roman" w:cs="Times New Roman"/>
          <w:b/>
          <w:sz w:val="24"/>
          <w:szCs w:val="24"/>
        </w:rPr>
        <w:t xml:space="preserve">Corrigé. </w:t>
      </w:r>
    </w:p>
    <w:p w14:paraId="560F2A64" w14:textId="77777777" w:rsidR="00616B35" w:rsidRDefault="00E4208A" w:rsidP="008C25DA">
      <w:pPr>
        <w:pStyle w:val="Paragraphedeliste"/>
        <w:numPr>
          <w:ilvl w:val="0"/>
          <w:numId w:val="2"/>
        </w:numPr>
        <w:tabs>
          <w:tab w:val="left" w:pos="915"/>
        </w:tabs>
        <w:spacing w:after="0"/>
      </w:pPr>
      <w:r>
        <w:t>Les femmes représentent la moitié de la population active</w:t>
      </w:r>
      <w:r w:rsidR="00616B35">
        <w:t>. Sur 100 actifs, 51 sont des femmes en 2019 selon l’INSEE. Certaines PCS sont nettement féminisées. Par exemple,  elles constituent l’essentiel de la catégorie « employés ». 80% des employés sont des femmes, alors que ces dernières ne représentent que 21% des ouvriers, soit un pourcentage 4 fois plus faible. Elles sont encore nettement minoritaires pour les catégories « non salariées »</w:t>
      </w:r>
      <w:r w:rsidR="008C25DA">
        <w:t>, moins d’un tiers des agriculteurs et ACCE sont des femmes.</w:t>
      </w:r>
    </w:p>
    <w:p w14:paraId="1EDA1AF1" w14:textId="77777777" w:rsidR="00483E76" w:rsidRDefault="00483E76" w:rsidP="00483E76">
      <w:pPr>
        <w:pStyle w:val="Paragraphedeliste"/>
        <w:tabs>
          <w:tab w:val="left" w:pos="915"/>
        </w:tabs>
        <w:spacing w:after="0"/>
      </w:pPr>
    </w:p>
    <w:p w14:paraId="30485682" w14:textId="77777777" w:rsidR="00483E76" w:rsidRDefault="00483E76" w:rsidP="00483E76">
      <w:pPr>
        <w:pStyle w:val="Paragraphedeliste"/>
        <w:numPr>
          <w:ilvl w:val="0"/>
          <w:numId w:val="2"/>
        </w:numPr>
        <w:tabs>
          <w:tab w:val="left" w:pos="915"/>
        </w:tabs>
        <w:spacing w:after="0"/>
      </w:pPr>
      <w:r>
        <w:t xml:space="preserve">Les modifications de la structure socioprofessionnelle de la France sont profondes. Depuis 1954, on observe 4 tendances principales, la salarisation, la tertiarisation, l’élévation du niveau de qualification et la féminisation. </w:t>
      </w:r>
    </w:p>
    <w:p w14:paraId="622B9397" w14:textId="77777777" w:rsidR="00483E76" w:rsidRDefault="00483E76" w:rsidP="00483E76">
      <w:pPr>
        <w:pStyle w:val="Paragraphedeliste"/>
      </w:pPr>
    </w:p>
    <w:p w14:paraId="3CC9E3F1" w14:textId="77777777" w:rsidR="008C25DA" w:rsidRDefault="00483E76" w:rsidP="00483E76">
      <w:pPr>
        <w:pStyle w:val="Paragraphedeliste"/>
        <w:tabs>
          <w:tab w:val="left" w:pos="915"/>
        </w:tabs>
        <w:spacing w:after="0"/>
      </w:pPr>
      <w:r>
        <w:tab/>
        <w:t>On remarque que la part des catégories non salariées a reculé depuis 1954.  Les agriculteurs et ACCE qui représentent un tiers des actifs en 1954 n’en représentent plus que 8%, soit une baisse de 25 points d</w:t>
      </w:r>
      <w:r w:rsidR="00E202C7">
        <w:t>e</w:t>
      </w:r>
      <w:r>
        <w:t xml:space="preserve"> pourcentage.</w:t>
      </w:r>
    </w:p>
    <w:p w14:paraId="283A7775" w14:textId="77777777" w:rsidR="00483E76" w:rsidRDefault="00E202C7" w:rsidP="00483E76">
      <w:pPr>
        <w:pStyle w:val="Paragraphedeliste"/>
        <w:tabs>
          <w:tab w:val="left" w:pos="915"/>
        </w:tabs>
        <w:spacing w:after="0"/>
      </w:pPr>
      <w:r>
        <w:tab/>
      </w:r>
      <w:r w:rsidR="00483E76">
        <w:t>La catégorie des employés caractéristique des professions du secteur tertiaire  a nettement progressé, au point</w:t>
      </w:r>
      <w:r>
        <w:t xml:space="preserve"> que cette catégorie est devenue</w:t>
      </w:r>
      <w:r w:rsidR="00483E76">
        <w:t xml:space="preserve"> la plus no</w:t>
      </w:r>
      <w:r>
        <w:t>m</w:t>
      </w:r>
      <w:r w:rsidR="00483E76">
        <w:t>breuse</w:t>
      </w:r>
      <w:r>
        <w:t>. Une même tendance peut-être observée pour les professions intermédiaires et CPIS. Cette tendance à la tertiarisation se fait au détriment des secteurs primaire et secondaire. De 1975 à 2019, la part des ouvriers a été divisée par 2 et depuis 1954, la proportion d’agriculteurs dans la population active a été divisée par plus de 10.</w:t>
      </w:r>
    </w:p>
    <w:p w14:paraId="66059459" w14:textId="77777777" w:rsidR="00E202C7" w:rsidRDefault="00E202C7" w:rsidP="00483E76">
      <w:pPr>
        <w:pStyle w:val="Paragraphedeliste"/>
        <w:tabs>
          <w:tab w:val="left" w:pos="915"/>
        </w:tabs>
        <w:spacing w:after="0"/>
      </w:pPr>
      <w:r>
        <w:tab/>
        <w:t>La hausse du niveau de qualification peut être illustrée par la progression relative des catégories les plus diplômées que sont les CPIS et professions intermédiaires. Aujourd’hui, la part des CPIS et 6 fois plus forte qu’en 1954.</w:t>
      </w:r>
    </w:p>
    <w:p w14:paraId="7F191A28" w14:textId="77777777" w:rsidR="00E202C7" w:rsidRDefault="00E202C7" w:rsidP="00483E76">
      <w:pPr>
        <w:pStyle w:val="Paragraphedeliste"/>
        <w:tabs>
          <w:tab w:val="left" w:pos="915"/>
        </w:tabs>
        <w:spacing w:after="0"/>
      </w:pPr>
      <w:r>
        <w:tab/>
        <w:t>La féminisation de la population active s’est accélérée à la fin des Trente glorieuses. Aujourd’hui, les femmes représentent plus de la moitié de la population active.</w:t>
      </w:r>
    </w:p>
    <w:p w14:paraId="010D6C18" w14:textId="77777777" w:rsidR="00E202C7" w:rsidRDefault="00E202C7" w:rsidP="00483E76">
      <w:pPr>
        <w:pStyle w:val="Paragraphedeliste"/>
        <w:tabs>
          <w:tab w:val="left" w:pos="915"/>
        </w:tabs>
        <w:spacing w:after="0"/>
      </w:pPr>
    </w:p>
    <w:p w14:paraId="7AF8760F" w14:textId="77777777" w:rsidR="00616B35" w:rsidRDefault="00E202C7" w:rsidP="00914037">
      <w:pPr>
        <w:pStyle w:val="Paragraphedeliste"/>
        <w:tabs>
          <w:tab w:val="left" w:pos="915"/>
        </w:tabs>
        <w:spacing w:after="0"/>
      </w:pPr>
      <w:r>
        <w:tab/>
        <w:t>Ces 4 processus sont reliés. La tertiarisation s’est accompagnée d’une féminisation de la population active ainsi que d’une hausse du niveau de qualification.</w:t>
      </w:r>
      <w:r w:rsidR="00914037">
        <w:t xml:space="preserve"> L’entrée des femmes sur le marché du travail a renforcé le mouvement de salarisation. </w:t>
      </w:r>
    </w:p>
    <w:p w14:paraId="28D61723" w14:textId="77777777" w:rsidR="00616B35" w:rsidRDefault="00616B35" w:rsidP="00616B35">
      <w:pPr>
        <w:tabs>
          <w:tab w:val="left" w:pos="915"/>
        </w:tabs>
        <w:spacing w:after="0"/>
      </w:pPr>
    </w:p>
    <w:p w14:paraId="38425822" w14:textId="77777777" w:rsidR="00616B35" w:rsidRDefault="00616B35" w:rsidP="00616B35">
      <w:pPr>
        <w:tabs>
          <w:tab w:val="left" w:pos="915"/>
        </w:tabs>
        <w:spacing w:after="0"/>
      </w:pPr>
    </w:p>
    <w:p w14:paraId="643BCF97" w14:textId="77777777" w:rsidR="00AC165A" w:rsidRDefault="00AC165A" w:rsidP="00616B35">
      <w:pPr>
        <w:tabs>
          <w:tab w:val="left" w:pos="915"/>
        </w:tabs>
        <w:spacing w:after="0"/>
      </w:pPr>
    </w:p>
    <w:p w14:paraId="6597B962" w14:textId="77777777" w:rsidR="00AC165A" w:rsidRDefault="00AC165A" w:rsidP="00616B35">
      <w:pPr>
        <w:tabs>
          <w:tab w:val="left" w:pos="915"/>
        </w:tabs>
        <w:spacing w:after="0"/>
      </w:pPr>
    </w:p>
    <w:p w14:paraId="08AFC32A" w14:textId="77777777" w:rsidR="00AC165A" w:rsidRDefault="00AC165A" w:rsidP="00616B35">
      <w:pPr>
        <w:tabs>
          <w:tab w:val="left" w:pos="915"/>
        </w:tabs>
        <w:spacing w:after="0"/>
      </w:pPr>
    </w:p>
    <w:p w14:paraId="59DEDE93" w14:textId="77777777" w:rsidR="00AC165A" w:rsidRDefault="00AC165A" w:rsidP="00616B35">
      <w:pPr>
        <w:tabs>
          <w:tab w:val="left" w:pos="915"/>
        </w:tabs>
        <w:spacing w:after="0"/>
      </w:pPr>
    </w:p>
    <w:p w14:paraId="560D8FB5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14EF894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DA34033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AE2B6B9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688BB04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67B39D5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0666EC2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44B3BBCD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E389192" w14:textId="77777777" w:rsidR="0055784B" w:rsidRPr="001E7BF0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B356FAC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C09E6F5" w14:textId="77777777" w:rsidR="0055784B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EE3E2A" w14:textId="77777777" w:rsidR="0055784B" w:rsidRPr="001E7BF0" w:rsidRDefault="0055784B" w:rsidP="0055784B">
      <w:pPr>
        <w:pStyle w:val="Corpsdetexte3"/>
        <w:suppressAutoHyphens/>
        <w:spacing w:before="0"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7BF0">
        <w:rPr>
          <w:rFonts w:ascii="Times New Roman" w:hAnsi="Times New Roman" w:cs="Times New Roman"/>
          <w:b/>
          <w:bCs/>
          <w:iCs/>
          <w:sz w:val="24"/>
          <w:szCs w:val="24"/>
        </w:rPr>
        <w:t>Question 1</w:t>
      </w:r>
    </w:p>
    <w:tbl>
      <w:tblPr>
        <w:tblW w:w="104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835"/>
        <w:gridCol w:w="4344"/>
        <w:gridCol w:w="1814"/>
        <w:gridCol w:w="2489"/>
      </w:tblGrid>
      <w:tr w:rsidR="0055784B" w:rsidRPr="001E7BF0" w14:paraId="0EDF393D" w14:textId="77777777" w:rsidTr="009C4578">
        <w:trPr>
          <w:trHeight w:val="400"/>
          <w:jc w:val="center"/>
        </w:trPr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D3A029" w14:textId="77777777" w:rsidR="0055784B" w:rsidRPr="001E7BF0" w:rsidRDefault="0055784B" w:rsidP="009C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B402A4" w14:textId="77777777" w:rsidR="0055784B" w:rsidRPr="001E7BF0" w:rsidRDefault="0055784B" w:rsidP="009C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Attentes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5F477" w14:textId="77777777" w:rsidR="0055784B" w:rsidRPr="001E7BF0" w:rsidRDefault="0055784B" w:rsidP="009C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sz w:val="24"/>
                <w:szCs w:val="24"/>
              </w:rPr>
              <w:t>Points de vigilance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105D7D" w14:textId="77777777" w:rsidR="0055784B" w:rsidRPr="001E7BF0" w:rsidRDefault="0055784B" w:rsidP="009C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Répartition des points</w:t>
            </w:r>
          </w:p>
        </w:tc>
      </w:tr>
      <w:tr w:rsidR="0055784B" w:rsidRPr="001E7BF0" w14:paraId="68A06EE2" w14:textId="77777777" w:rsidTr="009C4578">
        <w:trPr>
          <w:trHeight w:val="792"/>
          <w:jc w:val="center"/>
        </w:trPr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A38ED0" w14:textId="77777777" w:rsidR="0055784B" w:rsidRPr="001E7BF0" w:rsidRDefault="0055784B" w:rsidP="009C4578">
            <w:pPr>
              <w:pStyle w:val="Standard"/>
              <w:rPr>
                <w:i/>
                <w:iCs/>
                <w:color w:val="000000"/>
                <w:sz w:val="24"/>
                <w:szCs w:val="24"/>
              </w:rPr>
            </w:pPr>
            <w:r w:rsidRPr="001E7BF0">
              <w:rPr>
                <w:sz w:val="24"/>
                <w:szCs w:val="24"/>
              </w:rPr>
              <w:t xml:space="preserve">Comparez la progression de la dépense de recherche dans les  différents pays </w:t>
            </w: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AA84CB" w14:textId="77777777" w:rsidR="0055784B" w:rsidRPr="001E7BF0" w:rsidRDefault="0055784B" w:rsidP="009C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 Capacité à comprendre le sens de la question </w:t>
            </w:r>
          </w:p>
          <w:p w14:paraId="75B52F18" w14:textId="77777777" w:rsidR="0055784B" w:rsidRPr="001E7BF0" w:rsidRDefault="0055784B" w:rsidP="009C4578">
            <w:pPr>
              <w:pStyle w:val="Corpsdetexte3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Mettre en évidence des différences entre les pays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C9345" w14:textId="77777777" w:rsidR="0055784B" w:rsidRPr="001E7BF0" w:rsidRDefault="0055784B" w:rsidP="009C4578">
            <w:pPr>
              <w:pStyle w:val="Standard"/>
              <w:rPr>
                <w:i/>
                <w:iCs/>
                <w:color w:val="000000"/>
                <w:sz w:val="24"/>
                <w:szCs w:val="24"/>
              </w:rPr>
            </w:pPr>
            <w:r w:rsidRPr="001E7BF0">
              <w:rPr>
                <w:i/>
                <w:sz w:val="24"/>
                <w:szCs w:val="24"/>
              </w:rPr>
              <w:t>Ne tenir compte que du taux de croissance de la DIRD et pas du Pib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0A991B" w14:textId="77777777" w:rsidR="0055784B" w:rsidRPr="001E7BF0" w:rsidRDefault="0055784B" w:rsidP="009C4578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0.5</w:t>
            </w:r>
          </w:p>
        </w:tc>
      </w:tr>
      <w:tr w:rsidR="0055784B" w:rsidRPr="001E7BF0" w14:paraId="77A94066" w14:textId="77777777" w:rsidTr="009C4578">
        <w:trPr>
          <w:trHeight w:val="1566"/>
          <w:jc w:val="center"/>
        </w:trPr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CAB847" w14:textId="77777777" w:rsidR="0055784B" w:rsidRPr="001E7BF0" w:rsidRDefault="0055784B" w:rsidP="009C4578">
            <w:pPr>
              <w:pStyle w:val="Corpsdetexte3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i/>
                <w:sz w:val="24"/>
                <w:szCs w:val="24"/>
              </w:rPr>
              <w:t>Lecture des taux de variation et calcul d’un écart en point de pourcentages ou à l’aide du coefficient multiplicateur</w:t>
            </w:r>
          </w:p>
          <w:p w14:paraId="150C7661" w14:textId="77777777" w:rsidR="0055784B" w:rsidRPr="001E7BF0" w:rsidRDefault="0055784B" w:rsidP="009C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262103" w14:textId="77777777" w:rsidR="0055784B" w:rsidRPr="001E7BF0" w:rsidRDefault="0055784B" w:rsidP="009C4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 Capacité à maîtriser l’utilisation des données quantitatives et des représentations graphiques </w:t>
            </w:r>
          </w:p>
          <w:p w14:paraId="43CD254A" w14:textId="77777777" w:rsidR="0055784B" w:rsidRPr="001E7BF0" w:rsidRDefault="0055784B" w:rsidP="009C4578">
            <w:pPr>
              <w:pStyle w:val="Corpsdetexte3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Lire un taux de variation : </w:t>
            </w:r>
            <w:r w:rsidRPr="001E7BF0">
              <w:rPr>
                <w:rFonts w:ascii="Times New Roman" w:hAnsi="Times New Roman" w:cs="Times New Roman"/>
                <w:sz w:val="24"/>
                <w:szCs w:val="24"/>
              </w:rPr>
              <w:t>la DIRD a augmenté d’environ 18% en Chine.</w:t>
            </w:r>
          </w:p>
          <w:p w14:paraId="301C6060" w14:textId="77777777" w:rsidR="0055784B" w:rsidRPr="001E7BF0" w:rsidRDefault="0055784B" w:rsidP="009C457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sz w:val="24"/>
                <w:szCs w:val="24"/>
              </w:rPr>
              <w:t xml:space="preserve">Rendre compte de l’écart : </w:t>
            </w:r>
          </w:p>
          <w:p w14:paraId="4BAA0A35" w14:textId="77777777" w:rsidR="0055784B" w:rsidRPr="001E7BF0" w:rsidRDefault="0055784B" w:rsidP="009C4578">
            <w:pPr>
              <w:pStyle w:val="Corpsdetexte3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France a un taux de croissance de sa dépense en </w:t>
            </w:r>
            <w:proofErr w:type="spellStart"/>
            <w:r w:rsidRPr="001E7BF0">
              <w:rPr>
                <w:rFonts w:ascii="Times New Roman" w:hAnsi="Times New Roman" w:cs="Times New Roman"/>
                <w:i/>
                <w:sz w:val="24"/>
                <w:szCs w:val="24"/>
              </w:rPr>
              <w:t>Dird</w:t>
            </w:r>
            <w:proofErr w:type="spellEnd"/>
            <w:r w:rsidRPr="001E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fois plus faible que la Chine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66A18" w14:textId="77777777" w:rsidR="0055784B" w:rsidRPr="001E7BF0" w:rsidRDefault="0055784B" w:rsidP="009C4578">
            <w:pPr>
              <w:pStyle w:val="Standard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310890" w14:textId="77777777" w:rsidR="0055784B" w:rsidRPr="001E7BF0" w:rsidRDefault="0055784B" w:rsidP="009C4578">
            <w:pPr>
              <w:pStyle w:val="Corpsdetexte3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ind w:firstLine="3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Pour chaque partie de la réponse, indiquer une fourchette de points </w:t>
            </w:r>
          </w:p>
          <w:p w14:paraId="47226117" w14:textId="77777777" w:rsidR="0055784B" w:rsidRPr="001E7BF0" w:rsidRDefault="0055784B" w:rsidP="009C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0.5 donner le sens d’un taux de variation 0.5</w:t>
            </w:r>
          </w:p>
          <w:p w14:paraId="0CF39509" w14:textId="77777777" w:rsidR="0055784B" w:rsidRPr="001E7BF0" w:rsidRDefault="0055784B" w:rsidP="009C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Traitement des données 0.5 </w:t>
            </w:r>
          </w:p>
        </w:tc>
      </w:tr>
      <w:tr w:rsidR="0055784B" w:rsidRPr="001E7BF0" w14:paraId="211453D6" w14:textId="77777777" w:rsidTr="009C4578">
        <w:trPr>
          <w:trHeight w:val="396"/>
          <w:jc w:val="center"/>
        </w:trPr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1889DC" w14:textId="77777777" w:rsidR="0055784B" w:rsidRPr="001E7BF0" w:rsidRDefault="0055784B" w:rsidP="009C4578">
            <w:pPr>
              <w:pStyle w:val="Standard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6D79B0" w14:textId="77777777" w:rsidR="0055784B" w:rsidRPr="001E7BF0" w:rsidRDefault="0055784B" w:rsidP="009C4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 Capacité à répondre à la question posée</w:t>
            </w:r>
          </w:p>
          <w:p w14:paraId="35E23AB1" w14:textId="77777777" w:rsidR="0055784B" w:rsidRPr="001E7BF0" w:rsidRDefault="0055784B" w:rsidP="009C4578">
            <w:pPr>
              <w:pStyle w:val="Corpsdetexte3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i/>
                <w:sz w:val="24"/>
                <w:szCs w:val="24"/>
              </w:rPr>
              <w:t>L’élève répond à la question et prouve ses affirmations au moyen des données chiffrées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F26567" w14:textId="77777777" w:rsidR="0055784B" w:rsidRPr="001E7BF0" w:rsidRDefault="0055784B" w:rsidP="009C4578">
            <w:pPr>
              <w:pStyle w:val="Standard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28F6BC" w14:textId="77777777" w:rsidR="0055784B" w:rsidRPr="001E7BF0" w:rsidRDefault="0055784B" w:rsidP="009C4578">
            <w:pPr>
              <w:pStyle w:val="Corpsdetexte3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ind w:firstLine="3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Pour chaque partie de la réponse, indiquer une fourchette de points </w:t>
            </w:r>
          </w:p>
          <w:p w14:paraId="068E6DBB" w14:textId="77777777" w:rsidR="0055784B" w:rsidRPr="001E7BF0" w:rsidRDefault="0055784B" w:rsidP="009C4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0.5 </w:t>
            </w:r>
          </w:p>
        </w:tc>
      </w:tr>
    </w:tbl>
    <w:p w14:paraId="23E0F55C" w14:textId="77777777" w:rsidR="0055784B" w:rsidRPr="001E7BF0" w:rsidRDefault="0055784B" w:rsidP="005578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31A23E" w14:textId="77777777" w:rsidR="0055784B" w:rsidRPr="001E7BF0" w:rsidRDefault="0055784B" w:rsidP="005578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29D380" w14:textId="77777777" w:rsidR="00AC165A" w:rsidRDefault="00AC165A" w:rsidP="00616B35">
      <w:pPr>
        <w:tabs>
          <w:tab w:val="left" w:pos="915"/>
        </w:tabs>
        <w:spacing w:after="0"/>
      </w:pPr>
    </w:p>
    <w:p w14:paraId="26A3D16F" w14:textId="77777777" w:rsidR="00AC165A" w:rsidRDefault="00AC165A" w:rsidP="00616B35">
      <w:pPr>
        <w:tabs>
          <w:tab w:val="left" w:pos="915"/>
        </w:tabs>
        <w:spacing w:after="0"/>
      </w:pPr>
    </w:p>
    <w:p w14:paraId="75A65395" w14:textId="77777777" w:rsidR="00AC165A" w:rsidRDefault="00AC165A" w:rsidP="00616B35">
      <w:pPr>
        <w:tabs>
          <w:tab w:val="left" w:pos="915"/>
        </w:tabs>
        <w:spacing w:after="0"/>
      </w:pPr>
    </w:p>
    <w:p w14:paraId="08E1672E" w14:textId="77777777" w:rsidR="00AC165A" w:rsidRDefault="00AC165A" w:rsidP="00616B35">
      <w:pPr>
        <w:tabs>
          <w:tab w:val="left" w:pos="915"/>
        </w:tabs>
        <w:spacing w:after="0"/>
      </w:pPr>
    </w:p>
    <w:p w14:paraId="4A40007D" w14:textId="77777777" w:rsidR="00AC165A" w:rsidRDefault="00AC165A" w:rsidP="00616B35">
      <w:pPr>
        <w:tabs>
          <w:tab w:val="left" w:pos="915"/>
        </w:tabs>
        <w:spacing w:after="0"/>
      </w:pPr>
    </w:p>
    <w:p w14:paraId="145F9EC5" w14:textId="77777777" w:rsidR="00AC165A" w:rsidRDefault="00AC165A" w:rsidP="00616B35">
      <w:pPr>
        <w:tabs>
          <w:tab w:val="left" w:pos="915"/>
        </w:tabs>
        <w:spacing w:after="0"/>
      </w:pPr>
    </w:p>
    <w:p w14:paraId="335A9980" w14:textId="77777777" w:rsidR="00AC165A" w:rsidRDefault="00AC165A" w:rsidP="00616B35">
      <w:pPr>
        <w:tabs>
          <w:tab w:val="left" w:pos="915"/>
        </w:tabs>
        <w:spacing w:after="0"/>
      </w:pPr>
    </w:p>
    <w:p w14:paraId="35BF843D" w14:textId="77777777" w:rsidR="00AC165A" w:rsidRDefault="00AC165A" w:rsidP="00616B35">
      <w:pPr>
        <w:tabs>
          <w:tab w:val="left" w:pos="915"/>
        </w:tabs>
        <w:spacing w:after="0"/>
      </w:pPr>
    </w:p>
    <w:p w14:paraId="0F40EF9B" w14:textId="77777777" w:rsidR="00AC165A" w:rsidRDefault="00AC165A" w:rsidP="00616B35">
      <w:pPr>
        <w:tabs>
          <w:tab w:val="left" w:pos="915"/>
        </w:tabs>
        <w:spacing w:after="0"/>
      </w:pPr>
    </w:p>
    <w:p w14:paraId="4934BFCF" w14:textId="77777777" w:rsidR="00AC165A" w:rsidRDefault="00AC165A" w:rsidP="00616B35">
      <w:pPr>
        <w:tabs>
          <w:tab w:val="left" w:pos="915"/>
        </w:tabs>
        <w:spacing w:after="0"/>
      </w:pPr>
    </w:p>
    <w:p w14:paraId="5E851C76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61A092B8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1C334CCC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1F8731A1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10BAD870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10EF85D9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0D7DE8B8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17F3E972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1B1A7FC7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61953A1F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191D05CD" w14:textId="77777777" w:rsidR="00F5105B" w:rsidRDefault="00F5105B" w:rsidP="00616B35">
      <w:pPr>
        <w:tabs>
          <w:tab w:val="left" w:pos="915"/>
        </w:tabs>
        <w:spacing w:after="0"/>
        <w:rPr>
          <w:b/>
          <w:bCs/>
        </w:rPr>
      </w:pPr>
    </w:p>
    <w:p w14:paraId="07AF5260" w14:textId="34E39021" w:rsidR="00AC165A" w:rsidRPr="00F5105B" w:rsidRDefault="00AC165A" w:rsidP="00616B35">
      <w:pPr>
        <w:tabs>
          <w:tab w:val="left" w:pos="915"/>
        </w:tabs>
        <w:spacing w:after="0"/>
        <w:rPr>
          <w:b/>
          <w:bCs/>
        </w:rPr>
      </w:pPr>
      <w:r w:rsidRPr="00F5105B">
        <w:rPr>
          <w:b/>
          <w:bCs/>
        </w:rPr>
        <w:t>Première partie mobilisation des connaissances</w:t>
      </w:r>
    </w:p>
    <w:p w14:paraId="6BF7EF1C" w14:textId="77777777" w:rsidR="00AC165A" w:rsidRDefault="00AC165A" w:rsidP="00616B35">
      <w:pPr>
        <w:tabs>
          <w:tab w:val="left" w:pos="915"/>
        </w:tabs>
        <w:spacing w:after="0"/>
      </w:pPr>
    </w:p>
    <w:p w14:paraId="219CF4E4" w14:textId="77777777" w:rsidR="00AC165A" w:rsidRDefault="00AC165A" w:rsidP="00616B35">
      <w:pPr>
        <w:tabs>
          <w:tab w:val="left" w:pos="915"/>
        </w:tabs>
        <w:spacing w:after="0"/>
      </w:pPr>
    </w:p>
    <w:p w14:paraId="1D6BA213" w14:textId="77777777" w:rsidR="00AC165A" w:rsidRPr="00F5105B" w:rsidRDefault="00AC165A" w:rsidP="00616B35">
      <w:pPr>
        <w:tabs>
          <w:tab w:val="left" w:pos="915"/>
        </w:tabs>
        <w:spacing w:after="0"/>
        <w:rPr>
          <w:i/>
          <w:iCs/>
          <w:u w:val="single"/>
        </w:rPr>
      </w:pPr>
      <w:r w:rsidRPr="00F5105B">
        <w:rPr>
          <w:i/>
          <w:iCs/>
          <w:u w:val="single"/>
        </w:rPr>
        <w:t>Présentez et illustrez 3 facteurs qui hiérarchisent l’espace social.</w:t>
      </w:r>
    </w:p>
    <w:p w14:paraId="4535852C" w14:textId="77777777" w:rsidR="00AC165A" w:rsidRDefault="00AC165A" w:rsidP="00616B35">
      <w:pPr>
        <w:tabs>
          <w:tab w:val="left" w:pos="915"/>
        </w:tabs>
        <w:spacing w:after="0"/>
      </w:pPr>
    </w:p>
    <w:p w14:paraId="3142D3C2" w14:textId="77777777" w:rsidR="00082CBD" w:rsidRDefault="00082CBD" w:rsidP="00616B35">
      <w:pPr>
        <w:tabs>
          <w:tab w:val="left" w:pos="915"/>
        </w:tabs>
        <w:spacing w:after="0"/>
      </w:pPr>
      <w:r>
        <w:tab/>
        <w:t xml:space="preserve">L’espace social </w:t>
      </w:r>
      <w:r w:rsidR="00E74BD1">
        <w:t xml:space="preserve">est </w:t>
      </w:r>
      <w:r>
        <w:t xml:space="preserve">une représentation de la société où les individus et groupes sociaux sont  situés les uns par rapport aux autres selon plusieurs </w:t>
      </w:r>
      <w:r w:rsidR="00E74BD1">
        <w:t>facteurs. Ces facteurs  définissent des inégalités qui hiérarchisent les groupes sociaux.</w:t>
      </w:r>
    </w:p>
    <w:p w14:paraId="6BC28D18" w14:textId="77777777" w:rsidR="00E74BD1" w:rsidRDefault="00E74BD1" w:rsidP="00616B35">
      <w:pPr>
        <w:tabs>
          <w:tab w:val="left" w:pos="915"/>
        </w:tabs>
        <w:spacing w:after="0"/>
      </w:pPr>
      <w:r>
        <w:t>On attend 3 facteurs parmi ces 7 critères</w:t>
      </w:r>
      <w:r w:rsidR="00D23645">
        <w:t xml:space="preserve"> plus une illustration :</w:t>
      </w:r>
      <w:r>
        <w:t xml:space="preserve"> </w:t>
      </w:r>
    </w:p>
    <w:p w14:paraId="21ABC6D5" w14:textId="77777777" w:rsidR="00082CBD" w:rsidRDefault="00E74BD1" w:rsidP="00616B35">
      <w:pPr>
        <w:tabs>
          <w:tab w:val="left" w:pos="915"/>
        </w:tabs>
        <w:spacing w:after="0"/>
      </w:pPr>
      <w:r>
        <w:t>-</w:t>
      </w:r>
      <w:r w:rsidR="00082CBD">
        <w:t>PCS</w:t>
      </w:r>
      <w:r w:rsidR="00D23645">
        <w:t> : on constate régulièrement une opposition entre CPIS et Ouvriers en termes d’espérance de vie, de départ en vacances, de taux de chômage...</w:t>
      </w:r>
    </w:p>
    <w:p w14:paraId="55F7AF9F" w14:textId="77777777" w:rsidR="00082CBD" w:rsidRDefault="00D23645" w:rsidP="00616B35">
      <w:pPr>
        <w:tabs>
          <w:tab w:val="left" w:pos="915"/>
        </w:tabs>
        <w:spacing w:after="0"/>
      </w:pPr>
      <w:r>
        <w:t xml:space="preserve">- </w:t>
      </w:r>
      <w:r w:rsidR="00082CBD">
        <w:t>Diplômes</w:t>
      </w:r>
      <w:r>
        <w:t> : diplôme et taux de chômage, débouchés professionnels en fonction de la filière, diplôme et salaires</w:t>
      </w:r>
    </w:p>
    <w:p w14:paraId="1A19433A" w14:textId="77777777" w:rsidR="00082CBD" w:rsidRDefault="00D23645" w:rsidP="00616B35">
      <w:pPr>
        <w:tabs>
          <w:tab w:val="left" w:pos="915"/>
        </w:tabs>
        <w:spacing w:after="0"/>
      </w:pPr>
      <w:r>
        <w:t>-</w:t>
      </w:r>
      <w:r w:rsidR="00082CBD">
        <w:t>Genre</w:t>
      </w:r>
      <w:r>
        <w:t> : inégalités de revenu, représentation politique, partage des tâches domestiques, plafond de verre et accès aux postes d’encadrement.</w:t>
      </w:r>
    </w:p>
    <w:p w14:paraId="5634C117" w14:textId="77777777" w:rsidR="00AC165A" w:rsidRDefault="00D23645" w:rsidP="00616B35">
      <w:pPr>
        <w:tabs>
          <w:tab w:val="left" w:pos="915"/>
        </w:tabs>
        <w:spacing w:after="0"/>
      </w:pPr>
      <w:r>
        <w:t>- Revenu : accès à la consommation et aux loisirs, accès au crédit, réussite scolaire et conditions de logement.</w:t>
      </w:r>
    </w:p>
    <w:p w14:paraId="40E071F6" w14:textId="77777777" w:rsidR="00AC165A" w:rsidRDefault="00D23645" w:rsidP="00616B35">
      <w:pPr>
        <w:tabs>
          <w:tab w:val="left" w:pos="915"/>
        </w:tabs>
        <w:spacing w:after="0"/>
      </w:pPr>
      <w:r>
        <w:t xml:space="preserve">- </w:t>
      </w:r>
      <w:r w:rsidR="00AC165A">
        <w:t>lieu de résidence</w:t>
      </w:r>
      <w:r>
        <w:t xml:space="preserve"> : accès aux services publics, stigmatisation, problèmes de transports, conditions de </w:t>
      </w:r>
      <w:r w:rsidR="00A7370B">
        <w:t>vie,</w:t>
      </w:r>
      <w:r>
        <w:t xml:space="preserve"> rural/urb</w:t>
      </w:r>
      <w:r w:rsidR="00A7370B">
        <w:t>ain, centre ville / périphérie.</w:t>
      </w:r>
    </w:p>
    <w:p w14:paraId="7D80C5B4" w14:textId="77777777" w:rsidR="00AC165A" w:rsidRDefault="00D23645" w:rsidP="00616B35">
      <w:pPr>
        <w:tabs>
          <w:tab w:val="left" w:pos="915"/>
        </w:tabs>
        <w:spacing w:after="0"/>
      </w:pPr>
      <w:r>
        <w:t xml:space="preserve">- </w:t>
      </w:r>
      <w:r w:rsidR="00AC165A">
        <w:t>Composition du ménage</w:t>
      </w:r>
      <w:r w:rsidR="00A7370B">
        <w:t> : famille monoparentale et taux de pauvreté</w:t>
      </w:r>
    </w:p>
    <w:p w14:paraId="502D7457" w14:textId="77777777" w:rsidR="00AC165A" w:rsidRDefault="00D23645" w:rsidP="00616B35">
      <w:pPr>
        <w:tabs>
          <w:tab w:val="left" w:pos="915"/>
        </w:tabs>
        <w:spacing w:after="0"/>
      </w:pPr>
      <w:r>
        <w:t xml:space="preserve">- </w:t>
      </w:r>
      <w:r w:rsidR="00A7370B">
        <w:t>position dans le c</w:t>
      </w:r>
      <w:r w:rsidR="00AC165A">
        <w:t xml:space="preserve">ycle </w:t>
      </w:r>
      <w:r w:rsidR="00A7370B">
        <w:t>de vie : âge et patrimoine, âge et chômage</w:t>
      </w:r>
    </w:p>
    <w:p w14:paraId="7AD50172" w14:textId="77777777" w:rsidR="00A7370B" w:rsidRDefault="00A7370B" w:rsidP="00616B35">
      <w:pPr>
        <w:tabs>
          <w:tab w:val="left" w:pos="915"/>
        </w:tabs>
        <w:spacing w:after="0"/>
      </w:pPr>
      <w:r>
        <w:t>Ces différents facteurs forment un système et sont intrinsèquement liés par exemple, le revenu influence le lieu d’habitation et dépend aussi de la composition des ménages.</w:t>
      </w:r>
    </w:p>
    <w:p w14:paraId="58A57C6E" w14:textId="77777777" w:rsidR="00AC165A" w:rsidRDefault="00AC165A" w:rsidP="00616B35">
      <w:pPr>
        <w:tabs>
          <w:tab w:val="left" w:pos="915"/>
        </w:tabs>
        <w:spacing w:after="0"/>
      </w:pPr>
    </w:p>
    <w:tbl>
      <w:tblPr>
        <w:tblpPr w:leftFromText="141" w:rightFromText="141" w:vertAnchor="page" w:horzAnchor="margin" w:tblpY="10096"/>
        <w:tblW w:w="493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589"/>
        <w:gridCol w:w="3003"/>
        <w:gridCol w:w="1828"/>
        <w:gridCol w:w="1740"/>
      </w:tblGrid>
      <w:tr w:rsidR="00F5105B" w:rsidRPr="001E7BF0" w14:paraId="6D30250D" w14:textId="77777777" w:rsidTr="00F5105B">
        <w:trPr>
          <w:trHeight w:val="3258"/>
        </w:trPr>
        <w:tc>
          <w:tcPr>
            <w:tcW w:w="14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193F2A" w14:textId="0390BB59" w:rsidR="00F5105B" w:rsidRPr="0055784B" w:rsidRDefault="00F5105B" w:rsidP="00F5105B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 w:rsidRPr="0055784B">
              <w:rPr>
                <w:b/>
                <w:color w:val="000000"/>
                <w:sz w:val="24"/>
                <w:szCs w:val="24"/>
              </w:rPr>
              <w:t>Question</w:t>
            </w:r>
          </w:p>
          <w:p w14:paraId="4199295D" w14:textId="77777777" w:rsidR="00F5105B" w:rsidRDefault="00F5105B" w:rsidP="00F5105B">
            <w:pPr>
              <w:pStyle w:val="Standard"/>
              <w:rPr>
                <w:color w:val="000000"/>
                <w:sz w:val="24"/>
                <w:szCs w:val="24"/>
              </w:rPr>
            </w:pPr>
          </w:p>
          <w:p w14:paraId="2BD4BF69" w14:textId="77777777" w:rsidR="00F5105B" w:rsidRPr="001E7BF0" w:rsidRDefault="00F5105B" w:rsidP="00F5105B">
            <w:pPr>
              <w:pStyle w:val="Standard"/>
              <w:rPr>
                <w:sz w:val="24"/>
                <w:szCs w:val="24"/>
              </w:rPr>
            </w:pPr>
          </w:p>
          <w:p w14:paraId="1BBFE4D5" w14:textId="77777777" w:rsidR="00F5105B" w:rsidRDefault="00F5105B" w:rsidP="00F5105B">
            <w:pPr>
              <w:tabs>
                <w:tab w:val="left" w:pos="915"/>
              </w:tabs>
              <w:spacing w:after="0"/>
            </w:pPr>
            <w:r>
              <w:t>Présentez et illustrez 3 facteurs qui hiérarchisent l’espace social.</w:t>
            </w:r>
          </w:p>
          <w:p w14:paraId="2BBA7002" w14:textId="77777777" w:rsidR="00F5105B" w:rsidRPr="001E7BF0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2A67D225" w14:textId="77777777" w:rsidR="00F5105B" w:rsidRDefault="00F5105B" w:rsidP="00F5105B">
            <w:pPr>
              <w:pStyle w:val="Standard"/>
              <w:rPr>
                <w:color w:val="000000"/>
                <w:sz w:val="24"/>
                <w:szCs w:val="24"/>
              </w:rPr>
            </w:pPr>
          </w:p>
          <w:p w14:paraId="6BF5B1FA" w14:textId="77777777" w:rsidR="00F5105B" w:rsidRDefault="00F5105B" w:rsidP="00F5105B">
            <w:pPr>
              <w:pStyle w:val="Standard"/>
              <w:rPr>
                <w:color w:val="000000"/>
                <w:sz w:val="24"/>
                <w:szCs w:val="24"/>
              </w:rPr>
            </w:pPr>
          </w:p>
          <w:p w14:paraId="4BB9AA2C" w14:textId="77777777" w:rsidR="00F5105B" w:rsidRPr="001E7BF0" w:rsidRDefault="00F5105B" w:rsidP="00F5105B">
            <w:pPr>
              <w:pStyle w:val="Standard"/>
              <w:rPr>
                <w:sz w:val="24"/>
                <w:szCs w:val="24"/>
              </w:rPr>
            </w:pPr>
            <w:r w:rsidRPr="001E7BF0">
              <w:rPr>
                <w:color w:val="000000"/>
                <w:sz w:val="24"/>
                <w:szCs w:val="24"/>
              </w:rPr>
              <w:t>Programme </w:t>
            </w:r>
          </w:p>
          <w:p w14:paraId="2CC2389F" w14:textId="77777777" w:rsidR="00F5105B" w:rsidRPr="001E7BF0" w:rsidRDefault="00F5105B" w:rsidP="00F5105B">
            <w:pPr>
              <w:pStyle w:val="Corpsdetexte3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Savoir identifier les multiples facteurs de structuration et de hiérarchisation de l’espace social :…..</w:t>
            </w:r>
          </w:p>
        </w:tc>
        <w:tc>
          <w:tcPr>
            <w:tcW w:w="1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02EF0C" w14:textId="77777777" w:rsidR="00F5105B" w:rsidRPr="0055784B" w:rsidRDefault="00F5105B" w:rsidP="00F5105B">
            <w:pPr>
              <w:pStyle w:val="Standard"/>
              <w:rPr>
                <w:b/>
                <w:i/>
                <w:color w:val="000000"/>
                <w:sz w:val="24"/>
                <w:szCs w:val="24"/>
              </w:rPr>
            </w:pPr>
            <w:r w:rsidRPr="0055784B">
              <w:rPr>
                <w:b/>
                <w:color w:val="000000"/>
                <w:sz w:val="24"/>
                <w:szCs w:val="24"/>
              </w:rPr>
              <w:t>Construction d'une réponse s'appuyant sur :</w:t>
            </w:r>
            <w:r w:rsidRPr="0055784B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35997D8C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5C7223B2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Savoir identifier les multiples facteurs de structuration et de hiérarchisation de l’espace social :…..</w:t>
            </w:r>
          </w:p>
          <w:p w14:paraId="21D05A94" w14:textId="77777777" w:rsidR="00F5105B" w:rsidRDefault="00F5105B" w:rsidP="00F5105B">
            <w:pPr>
              <w:pStyle w:val="Standard"/>
              <w:rPr>
                <w:sz w:val="24"/>
                <w:szCs w:val="24"/>
              </w:rPr>
            </w:pPr>
          </w:p>
          <w:p w14:paraId="512F9D5B" w14:textId="77777777" w:rsidR="00F5105B" w:rsidRPr="001E7BF0" w:rsidRDefault="00F5105B" w:rsidP="00F5105B">
            <w:pPr>
              <w:pStyle w:val="Standard"/>
              <w:rPr>
                <w:sz w:val="24"/>
                <w:szCs w:val="24"/>
              </w:rPr>
            </w:pPr>
          </w:p>
          <w:p w14:paraId="2AB491BD" w14:textId="77777777" w:rsidR="00F5105B" w:rsidRPr="001E7BF0" w:rsidRDefault="00F5105B" w:rsidP="00F510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 Comprendre le sens de la question </w:t>
            </w:r>
          </w:p>
          <w:p w14:paraId="6C47C5CA" w14:textId="77777777" w:rsidR="00F5105B" w:rsidRPr="001E7BF0" w:rsidRDefault="00F5105B" w:rsidP="00F51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 Maîtriser les connaissances appropriées </w:t>
            </w:r>
          </w:p>
          <w:p w14:paraId="187BD730" w14:textId="77777777" w:rsidR="00F5105B" w:rsidRPr="001E7BF0" w:rsidRDefault="00F5105B" w:rsidP="00F510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7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 Organiser sa réponse </w:t>
            </w:r>
          </w:p>
        </w:tc>
        <w:tc>
          <w:tcPr>
            <w:tcW w:w="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10" w:type="dxa"/>
            </w:tcMar>
          </w:tcPr>
          <w:p w14:paraId="61FB0934" w14:textId="77777777" w:rsidR="00F5105B" w:rsidRPr="0055784B" w:rsidRDefault="00F5105B" w:rsidP="00F5105B">
            <w:pPr>
              <w:pStyle w:val="Standard"/>
              <w:rPr>
                <w:b/>
                <w:color w:val="000000"/>
                <w:sz w:val="24"/>
                <w:szCs w:val="24"/>
              </w:rPr>
            </w:pPr>
            <w:r w:rsidRPr="0055784B">
              <w:rPr>
                <w:b/>
                <w:color w:val="000000"/>
                <w:sz w:val="24"/>
                <w:szCs w:val="24"/>
              </w:rPr>
              <w:t>Points de vigilance</w:t>
            </w:r>
          </w:p>
          <w:p w14:paraId="769CF5A4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7E88880A" w14:textId="77777777" w:rsidR="00F5105B" w:rsidRPr="001E7BF0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L’élève donne un exemple précis qui met en évidence la hiérarchie pour chacun des 3 facteurs.</w:t>
            </w:r>
          </w:p>
        </w:tc>
        <w:tc>
          <w:tcPr>
            <w:tcW w:w="9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D7E463" w14:textId="77777777" w:rsidR="00F5105B" w:rsidRPr="001E7BF0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33619470" w14:textId="77777777" w:rsidR="00F5105B" w:rsidRPr="001E7BF0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41886ACC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2975F358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2D054BA4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3F338FCB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382047F2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4974E9A7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2534843C" w14:textId="77777777" w:rsidR="00F5105B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6AC1C018" w14:textId="77777777" w:rsidR="00F5105B" w:rsidRPr="001E7BF0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25F351CE" w14:textId="77777777" w:rsidR="00F5105B" w:rsidRPr="001E7BF0" w:rsidRDefault="00F5105B" w:rsidP="00F5105B">
            <w:pPr>
              <w:pStyle w:val="Corpsdetexte3"/>
              <w:numPr>
                <w:ilvl w:val="0"/>
                <w:numId w:val="3"/>
              </w:num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0.5</w:t>
            </w:r>
            <w:r w:rsidRPr="001E7B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point</w:t>
            </w:r>
          </w:p>
          <w:p w14:paraId="029613B2" w14:textId="77777777" w:rsidR="00F5105B" w:rsidRPr="001E7BF0" w:rsidRDefault="00F5105B" w:rsidP="00F5105B">
            <w:pPr>
              <w:pStyle w:val="Corpsdetexte3"/>
              <w:numPr>
                <w:ilvl w:val="0"/>
                <w:numId w:val="3"/>
              </w:num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 </w:t>
            </w:r>
            <w:r w:rsidRPr="001E7B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points</w:t>
            </w:r>
          </w:p>
          <w:p w14:paraId="527E4E8F" w14:textId="77777777" w:rsidR="00F5105B" w:rsidRPr="001E7BF0" w:rsidRDefault="00F5105B" w:rsidP="00F5105B">
            <w:pPr>
              <w:pStyle w:val="Corpsdetexte3"/>
              <w:numPr>
                <w:ilvl w:val="0"/>
                <w:numId w:val="3"/>
              </w:num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uppressAutoHyphens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0.5</w:t>
            </w:r>
            <w:r w:rsidRPr="001E7B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point</w:t>
            </w:r>
          </w:p>
          <w:p w14:paraId="529894F3" w14:textId="77777777" w:rsidR="00F5105B" w:rsidRPr="001E7BF0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42970651" w14:textId="77777777" w:rsidR="00F5105B" w:rsidRPr="001E7BF0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  <w:p w14:paraId="36DA3BAD" w14:textId="77777777" w:rsidR="00F5105B" w:rsidRPr="001E7BF0" w:rsidRDefault="00F5105B" w:rsidP="00F5105B">
            <w:pPr>
              <w:pStyle w:val="Standard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50F11C34" w14:textId="77777777" w:rsidR="00AC165A" w:rsidRDefault="00AC165A" w:rsidP="00616B35">
      <w:pPr>
        <w:tabs>
          <w:tab w:val="left" w:pos="915"/>
        </w:tabs>
        <w:spacing w:after="0"/>
      </w:pPr>
    </w:p>
    <w:sectPr w:rsidR="00AC165A" w:rsidSect="00E7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C55"/>
    <w:multiLevelType w:val="hybridMultilevel"/>
    <w:tmpl w:val="A4FAACCA"/>
    <w:lvl w:ilvl="0" w:tplc="E21497B0">
      <w:start w:val="1"/>
      <w:numFmt w:val="decimal"/>
      <w:lvlText w:val="%1-"/>
      <w:lvlJc w:val="left"/>
      <w:pPr>
        <w:ind w:left="345" w:hanging="360"/>
      </w:pPr>
      <w:rPr>
        <w:rFonts w:hint="default"/>
        <w:i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36C3B28"/>
    <w:multiLevelType w:val="hybridMultilevel"/>
    <w:tmpl w:val="44748B46"/>
    <w:lvl w:ilvl="0" w:tplc="D49CF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2BF1"/>
    <w:multiLevelType w:val="hybridMultilevel"/>
    <w:tmpl w:val="87A67ACE"/>
    <w:lvl w:ilvl="0" w:tplc="E9029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5C3"/>
    <w:rsid w:val="000225C3"/>
    <w:rsid w:val="00082CBD"/>
    <w:rsid w:val="000B3730"/>
    <w:rsid w:val="004835A7"/>
    <w:rsid w:val="00483E76"/>
    <w:rsid w:val="004B6F28"/>
    <w:rsid w:val="0055784B"/>
    <w:rsid w:val="005E20F8"/>
    <w:rsid w:val="00616B35"/>
    <w:rsid w:val="00856CC5"/>
    <w:rsid w:val="008C25DA"/>
    <w:rsid w:val="00914037"/>
    <w:rsid w:val="00994A7A"/>
    <w:rsid w:val="009C4C41"/>
    <w:rsid w:val="00A7370B"/>
    <w:rsid w:val="00A86351"/>
    <w:rsid w:val="00AC165A"/>
    <w:rsid w:val="00C87A73"/>
    <w:rsid w:val="00D23645"/>
    <w:rsid w:val="00D46AF3"/>
    <w:rsid w:val="00E202C7"/>
    <w:rsid w:val="00E4208A"/>
    <w:rsid w:val="00E73710"/>
    <w:rsid w:val="00E74BD1"/>
    <w:rsid w:val="00EC19B0"/>
    <w:rsid w:val="00F35180"/>
    <w:rsid w:val="00F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B667"/>
  <w15:docId w15:val="{410F9766-A2CD-4407-B428-FF81B27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208A"/>
    <w:pPr>
      <w:ind w:left="720"/>
      <w:contextualSpacing/>
    </w:pPr>
  </w:style>
  <w:style w:type="character" w:customStyle="1" w:styleId="Corpsdetexte3Car">
    <w:name w:val="Corps de texte 3 Car"/>
    <w:basedOn w:val="Policepardfaut"/>
    <w:link w:val="Corpsdetexte3"/>
    <w:uiPriority w:val="99"/>
    <w:rsid w:val="0055784B"/>
    <w:rPr>
      <w:sz w:val="16"/>
    </w:rPr>
  </w:style>
  <w:style w:type="paragraph" w:styleId="Corpsdetexte3">
    <w:name w:val="Body Text 3"/>
    <w:basedOn w:val="Normal"/>
    <w:link w:val="Corpsdetexte3Car"/>
    <w:uiPriority w:val="99"/>
    <w:unhideWhenUsed/>
    <w:rsid w:val="0055784B"/>
    <w:pPr>
      <w:spacing w:before="40" w:after="120" w:line="288" w:lineRule="auto"/>
      <w:jc w:val="both"/>
    </w:pPr>
    <w:rPr>
      <w:sz w:val="16"/>
    </w:rPr>
  </w:style>
  <w:style w:type="character" w:customStyle="1" w:styleId="Corpsdetexte3Car1">
    <w:name w:val="Corps de texte 3 Car1"/>
    <w:basedOn w:val="Policepardfaut"/>
    <w:uiPriority w:val="99"/>
    <w:semiHidden/>
    <w:rsid w:val="0055784B"/>
    <w:rPr>
      <w:sz w:val="16"/>
      <w:szCs w:val="16"/>
    </w:rPr>
  </w:style>
  <w:style w:type="paragraph" w:customStyle="1" w:styleId="Standard">
    <w:name w:val="Standard"/>
    <w:rsid w:val="0055784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Jean-Luc LY</cp:lastModifiedBy>
  <cp:revision>8</cp:revision>
  <dcterms:created xsi:type="dcterms:W3CDTF">2020-10-15T08:14:00Z</dcterms:created>
  <dcterms:modified xsi:type="dcterms:W3CDTF">2020-10-17T16:22:00Z</dcterms:modified>
</cp:coreProperties>
</file>