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onlyofficeDefaultFont" w:hAnsi="onlyofficeDefaultFont" w:eastAsia="Times New Roman" w:cs="Arial"/>
          <w:color w:val="000000"/>
          <w:lang w:eastAsia="fr-FR"/>
        </w:rPr>
      </w:pPr>
      <w:r>
        <w:rPr>
          <w:rFonts w:eastAsia="Times New Roman" w:cs="Arial" w:ascii="Cambria" w:hAnsi="Cambria"/>
          <w:b/>
          <w:bCs/>
          <w:color w:val="000000"/>
          <w:lang w:eastAsia="fr-FR"/>
        </w:rPr>
        <w:t>Partie 1</w:t>
      </w:r>
      <w:r>
        <w:rPr>
          <w:rFonts w:eastAsia="Times New Roman" w:cs="Arial" w:ascii="Cambria" w:hAnsi="Cambria"/>
          <w:color w:val="000000"/>
          <w:lang w:eastAsia="fr-FR"/>
        </w:rPr>
        <w:t> - Mobilisation des connaissances (4 points).</w:t>
      </w:r>
    </w:p>
    <w:p>
      <w:pPr>
        <w:pStyle w:val="Normal"/>
        <w:spacing w:lineRule="auto" w:line="240" w:before="0" w:after="0"/>
        <w:jc w:val="both"/>
        <w:rPr>
          <w:rFonts w:ascii="Cambria" w:hAnsi="Cambria" w:eastAsia="Times New Roman" w:cs="Arial"/>
          <w:b/>
          <w:b/>
          <w:bCs/>
          <w:color w:val="000000"/>
          <w:lang w:eastAsia="fr-FR"/>
        </w:rPr>
      </w:pPr>
      <w:r>
        <w:rPr>
          <w:rFonts w:eastAsia="Times New Roman" w:cs="Arial" w:ascii="Cambria" w:hAnsi="Cambria"/>
          <w:b/>
          <w:bCs/>
          <w:color w:val="000000"/>
          <w:lang w:eastAsia="fr-FR"/>
        </w:rPr>
        <w:t>Illustrez à l’aide d’un exemple la multiplicité des facteurs d’inégalités de réussite scolaire.</w:t>
      </w:r>
    </w:p>
    <w:p>
      <w:pPr>
        <w:pStyle w:val="Normal"/>
        <w:spacing w:lineRule="auto" w:line="240" w:before="0" w:after="0"/>
        <w:jc w:val="both"/>
        <w:rPr>
          <w:rFonts w:ascii="onlyofficeDefaultFont" w:hAnsi="onlyofficeDefaultFont" w:eastAsia="Times New Roman" w:cs="Arial"/>
          <w:color w:val="000000"/>
          <w:lang w:eastAsia="fr-FR"/>
        </w:rPr>
      </w:pPr>
      <w:r>
        <w:rPr>
          <w:rFonts w:eastAsia="Times New Roman" w:cs="Arial" w:ascii="onlyofficeDefaultFont" w:hAnsi="onlyofficeDefaultFont"/>
          <w:color w:val="000000"/>
          <w:lang w:eastAsia="fr-FR"/>
        </w:rPr>
        <w:t> </w:t>
      </w:r>
    </w:p>
    <w:p>
      <w:pPr>
        <w:pStyle w:val="Normal"/>
        <w:keepNext w:val="true"/>
        <w:keepLines/>
        <w:numPr>
          <w:ilvl w:val="0"/>
          <w:numId w:val="0"/>
        </w:numPr>
        <w:spacing w:lineRule="auto" w:line="240" w:before="40" w:after="0"/>
        <w:jc w:val="both"/>
        <w:outlineLvl w:val="2"/>
        <w:rPr>
          <w:rFonts w:ascii="Helvetica" w:hAnsi="Helvetica" w:eastAsia="Times New Roman" w:cs="Arial"/>
          <w:color w:val="000000"/>
          <w:sz w:val="29"/>
          <w:szCs w:val="29"/>
          <w:lang w:eastAsia="fr-FR"/>
        </w:rPr>
      </w:pPr>
      <w:r>
        <w:rPr>
          <w:rFonts w:eastAsia="Times New Roman" w:cs="Arial" w:ascii="Cambria" w:hAnsi="Cambria"/>
          <w:b/>
          <w:bCs/>
          <w:color w:val="404040"/>
          <w:sz w:val="28"/>
          <w:szCs w:val="28"/>
          <w:lang w:eastAsia="fr-FR"/>
        </w:rPr>
        <w:t>Grille d’évaluation de l’EC1 (attendus académiques dans le cadre du baccalauréat) </w:t>
      </w:r>
    </w:p>
    <w:p>
      <w:pPr>
        <w:pStyle w:val="Normal"/>
        <w:spacing w:lineRule="auto" w:line="240" w:before="0" w:after="0"/>
        <w:jc w:val="both"/>
        <w:rPr>
          <w:rFonts w:ascii="onlyofficeDefaultFont" w:hAnsi="onlyofficeDefaultFont" w:eastAsia="Times New Roman" w:cs="Arial"/>
          <w:color w:val="000000"/>
          <w:lang w:eastAsia="fr-FR"/>
        </w:rPr>
      </w:pPr>
      <w:r>
        <w:rPr>
          <w:rFonts w:eastAsia="Times New Roman" w:cs="Arial" w:ascii="onlyofficeDefaultFont" w:hAnsi="onlyofficeDefaultFont"/>
          <w:color w:val="000000"/>
          <w:lang w:eastAsia="fr-FR"/>
        </w:rPr>
        <w:t> </w:t>
      </w:r>
    </w:p>
    <w:tbl>
      <w:tblPr>
        <w:tblW w:w="9073" w:type="dxa"/>
        <w:jc w:val="left"/>
        <w:tblInd w:w="0" w:type="dxa"/>
        <w:tblCellMar>
          <w:top w:w="0" w:type="dxa"/>
          <w:left w:w="93" w:type="dxa"/>
          <w:bottom w:w="0" w:type="dxa"/>
          <w:right w:w="108" w:type="dxa"/>
        </w:tblCellMar>
        <w:tblLook w:firstRow="1" w:noVBand="1" w:lastRow="0" w:firstColumn="1" w:lastColumn="0" w:noHBand="0" w:val="04a0"/>
      </w:tblPr>
      <w:tblGrid>
        <w:gridCol w:w="2268"/>
        <w:gridCol w:w="2268"/>
        <w:gridCol w:w="2268"/>
        <w:gridCol w:w="2268"/>
      </w:tblGrid>
      <w:tr>
        <w:trPr>
          <w:trHeight w:val="846" w:hRule="atLeast"/>
        </w:trPr>
        <w:tc>
          <w:tcPr>
            <w:tcW w:w="22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40" w:before="0" w:after="0"/>
              <w:jc w:val="center"/>
              <w:rPr>
                <w:rFonts w:ascii="Helvetica" w:hAnsi="Helvetica" w:eastAsia="Times New Roman" w:cs="Times New Roman"/>
                <w:color w:val="444444"/>
                <w:sz w:val="17"/>
                <w:szCs w:val="17"/>
                <w:lang w:eastAsia="fr-FR"/>
              </w:rPr>
            </w:pPr>
            <w:r>
              <w:rPr>
                <w:rFonts w:eastAsia="Times New Roman" w:cs="Times New Roman" w:ascii="Helvetica" w:hAnsi="Helvetica"/>
                <w:color w:val="444444"/>
                <w:sz w:val="17"/>
                <w:szCs w:val="17"/>
                <w:lang w:eastAsia="fr-FR"/>
              </w:rPr>
              <w:t> </w:t>
            </w:r>
          </w:p>
          <w:p>
            <w:pPr>
              <w:pStyle w:val="Normal"/>
              <w:spacing w:lineRule="auto" w:line="240" w:before="0" w:after="0"/>
              <w:jc w:val="center"/>
              <w:rPr>
                <w:rFonts w:ascii="Helvetica" w:hAnsi="Helvetica" w:eastAsia="Times New Roman" w:cs="Times New Roman"/>
                <w:color w:val="444444"/>
                <w:sz w:val="17"/>
                <w:szCs w:val="17"/>
                <w:lang w:eastAsia="fr-FR"/>
              </w:rPr>
            </w:pPr>
            <w:r>
              <w:rPr>
                <w:rFonts w:eastAsia="Times New Roman" w:cs="Times New Roman" w:ascii="Helvetica" w:hAnsi="Helvetica"/>
                <w:color w:val="444444"/>
                <w:sz w:val="17"/>
                <w:szCs w:val="17"/>
                <w:lang w:eastAsia="fr-FR"/>
              </w:rPr>
              <w:t> </w:t>
            </w:r>
          </w:p>
        </w:tc>
        <w:tc>
          <w:tcPr>
            <w:tcW w:w="22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40" w:before="0" w:after="0"/>
              <w:jc w:val="center"/>
              <w:rPr>
                <w:rFonts w:ascii="Helvetica" w:hAnsi="Helvetica" w:eastAsia="Times New Roman" w:cs="Times New Roman"/>
                <w:color w:val="444444"/>
                <w:sz w:val="17"/>
                <w:szCs w:val="17"/>
                <w:lang w:eastAsia="fr-FR"/>
              </w:rPr>
            </w:pPr>
            <w:r>
              <w:rPr>
                <w:rFonts w:eastAsia="Times New Roman" w:cs="Times New Roman" w:ascii="Cambria" w:hAnsi="Cambria"/>
                <w:b/>
                <w:bCs/>
                <w:color w:val="00000A"/>
                <w:lang w:eastAsia="fr-FR"/>
              </w:rPr>
              <w:t>Attentes</w:t>
            </w:r>
          </w:p>
        </w:tc>
        <w:tc>
          <w:tcPr>
            <w:tcW w:w="2268" w:type="dxa"/>
            <w:tcBorders>
              <w:top w:val="single" w:sz="4" w:space="0" w:color="00000A"/>
              <w:left w:val="single" w:sz="4" w:space="0" w:color="00000A"/>
              <w:bottom w:val="single" w:sz="4" w:space="0" w:color="00000A"/>
              <w:right w:val="single" w:sz="4" w:space="0" w:color="00000A"/>
            </w:tcBorders>
            <w:shd w:color="auto" w:fill="FFFFFF" w:val="clear"/>
            <w:tcMar>
              <w:left w:w="0" w:type="dxa"/>
              <w:right w:w="0" w:type="dxa"/>
            </w:tcMar>
            <w:vAlign w:val="center"/>
          </w:tcPr>
          <w:p>
            <w:pPr>
              <w:pStyle w:val="Normal"/>
              <w:spacing w:lineRule="auto" w:line="240" w:before="0" w:after="0"/>
              <w:jc w:val="center"/>
              <w:rPr>
                <w:rFonts w:ascii="Helvetica" w:hAnsi="Helvetica" w:eastAsia="Times New Roman" w:cs="Times New Roman"/>
                <w:color w:val="444444"/>
                <w:sz w:val="17"/>
                <w:szCs w:val="17"/>
                <w:lang w:eastAsia="fr-FR"/>
              </w:rPr>
            </w:pPr>
            <w:r>
              <w:rPr>
                <w:rFonts w:eastAsia="Times New Roman" w:cs="Times New Roman" w:ascii="Cambria" w:hAnsi="Cambria"/>
                <w:b/>
                <w:bCs/>
                <w:color w:val="00000A"/>
                <w:lang w:eastAsia="fr-FR"/>
              </w:rPr>
              <w:t>Points de vigilance</w:t>
            </w:r>
          </w:p>
        </w:tc>
        <w:tc>
          <w:tcPr>
            <w:tcW w:w="22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40" w:before="0" w:after="0"/>
              <w:jc w:val="center"/>
              <w:rPr>
                <w:rFonts w:ascii="Helvetica" w:hAnsi="Helvetica" w:eastAsia="Times New Roman" w:cs="Times New Roman"/>
                <w:color w:val="444444"/>
                <w:sz w:val="17"/>
                <w:szCs w:val="17"/>
                <w:lang w:eastAsia="fr-FR"/>
              </w:rPr>
            </w:pPr>
            <w:r>
              <w:rPr>
                <w:rFonts w:eastAsia="Times New Roman" w:cs="Times New Roman" w:ascii="Cambria" w:hAnsi="Cambria"/>
                <w:b/>
                <w:bCs/>
                <w:color w:val="00000A"/>
                <w:lang w:eastAsia="fr-FR"/>
              </w:rPr>
              <w:t>Répartition des points</w:t>
            </w:r>
          </w:p>
        </w:tc>
      </w:tr>
      <w:tr>
        <w:trPr>
          <w:trHeight w:val="3258" w:hRule="atLeast"/>
        </w:trPr>
        <w:tc>
          <w:tcPr>
            <w:tcW w:w="22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40" w:before="0" w:after="0"/>
              <w:rPr/>
            </w:pPr>
            <w:r>
              <w:rPr/>
              <w:t>Consigne :</w:t>
            </w:r>
          </w:p>
          <w:p>
            <w:pPr>
              <w:pStyle w:val="Normal"/>
              <w:rPr/>
            </w:pPr>
            <w:r>
              <w:rPr/>
              <w:t>Illustrer par un exemple la multiplicité des facteurs d’inégalités de réussite scolaire.</w:t>
            </w:r>
          </w:p>
          <w:p>
            <w:pPr>
              <w:pStyle w:val="Normal"/>
              <w:spacing w:lineRule="auto" w:line="240" w:before="0" w:after="0"/>
              <w:rPr/>
            </w:pPr>
            <w:r>
              <w:rPr/>
              <w:t> </w:t>
            </w:r>
          </w:p>
          <w:p>
            <w:pPr>
              <w:pStyle w:val="Normal"/>
              <w:spacing w:lineRule="auto" w:line="240" w:before="0" w:after="0"/>
              <w:rPr/>
            </w:pPr>
            <w:r>
              <w:rPr/>
              <w:t>Programme </w:t>
            </w:r>
          </w:p>
          <w:p>
            <w:pPr>
              <w:pStyle w:val="Normal"/>
              <w:spacing w:lineRule="auto" w:line="240" w:before="0" w:after="0"/>
              <w:rPr/>
            </w:pPr>
            <w:r>
              <w:rPr/>
              <w:t xml:space="preserve">Comprendre la multiplicité des facteurs d’inégalités de réussite scolaire (notamment, rôle de l’École, rôle du capital culturel et des investissements familiaux, socialisation selon le genre, effets des stratégies des ménages) dans la construction des trajectoires individuelles de formation. </w:t>
            </w:r>
          </w:p>
        </w:tc>
        <w:tc>
          <w:tcPr>
            <w:tcW w:w="22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ind w:left="-28" w:hanging="0"/>
              <w:rPr/>
            </w:pPr>
            <w:r>
              <w:rPr/>
              <w:t>Définir la notion d’inégalités</w:t>
            </w:r>
          </w:p>
          <w:p>
            <w:pPr>
              <w:pStyle w:val="Normal"/>
              <w:rPr/>
            </w:pPr>
            <w:r>
              <w:rPr/>
              <w:t>Aborder un élément parmi :</w:t>
            </w:r>
          </w:p>
          <w:p>
            <w:pPr>
              <w:pStyle w:val="ListParagraph"/>
              <w:numPr>
                <w:ilvl w:val="0"/>
                <w:numId w:val="1"/>
              </w:numPr>
              <w:ind w:left="190" w:hanging="218"/>
              <w:rPr/>
            </w:pPr>
            <w:r>
              <w:rPr/>
              <w:t>Rôle de l’école</w:t>
            </w:r>
          </w:p>
          <w:p>
            <w:pPr>
              <w:pStyle w:val="ListParagraph"/>
              <w:numPr>
                <w:ilvl w:val="0"/>
                <w:numId w:val="1"/>
              </w:numPr>
              <w:ind w:left="190" w:hanging="218"/>
              <w:rPr/>
            </w:pPr>
            <w:r>
              <w:rPr/>
              <w:t>Rôle du capital culturel</w:t>
            </w:r>
          </w:p>
          <w:p>
            <w:pPr>
              <w:pStyle w:val="ListParagraph"/>
              <w:numPr>
                <w:ilvl w:val="0"/>
                <w:numId w:val="1"/>
              </w:numPr>
              <w:ind w:left="190" w:hanging="218"/>
              <w:rPr/>
            </w:pPr>
            <w:r>
              <w:rPr/>
              <w:t>Investissement des familles</w:t>
            </w:r>
          </w:p>
          <w:p>
            <w:pPr>
              <w:pStyle w:val="ListParagraph"/>
              <w:numPr>
                <w:ilvl w:val="0"/>
                <w:numId w:val="1"/>
              </w:numPr>
              <w:ind w:left="190" w:hanging="218"/>
              <w:rPr/>
            </w:pPr>
            <w:r>
              <w:rPr/>
              <w:t>Socialisation selon le genre</w:t>
            </w:r>
          </w:p>
          <w:p>
            <w:pPr>
              <w:pStyle w:val="ListParagraph"/>
              <w:numPr>
                <w:ilvl w:val="0"/>
                <w:numId w:val="1"/>
              </w:numPr>
              <w:ind w:left="190" w:hanging="218"/>
              <w:rPr/>
            </w:pPr>
            <w:r>
              <w:rPr/>
              <w:t>Effets des stratégies des ménages</w:t>
            </w:r>
          </w:p>
          <w:p>
            <w:pPr>
              <w:pStyle w:val="Normal"/>
              <w:widowControl/>
              <w:bidi w:val="0"/>
              <w:spacing w:lineRule="auto" w:line="259" w:before="0" w:after="160"/>
              <w:jc w:val="left"/>
              <w:rPr/>
            </w:pPr>
            <w:r>
              <w:rPr/>
              <w:t>Donner un exemple concret</w:t>
            </w:r>
          </w:p>
        </w:tc>
        <w:tc>
          <w:tcPr>
            <w:tcW w:w="2268" w:type="dxa"/>
            <w:tcBorders>
              <w:top w:val="single" w:sz="4" w:space="0" w:color="00000A"/>
              <w:left w:val="single" w:sz="4" w:space="0" w:color="00000A"/>
              <w:bottom w:val="single" w:sz="4" w:space="0" w:color="00000A"/>
              <w:right w:val="single" w:sz="4" w:space="0" w:color="00000A"/>
            </w:tcBorders>
            <w:shd w:color="auto" w:fill="FFFFFF" w:val="clear"/>
            <w:tcMar>
              <w:left w:w="0" w:type="dxa"/>
              <w:right w:w="0" w:type="dxa"/>
            </w:tcMar>
            <w:vAlign w:val="center"/>
          </w:tcPr>
          <w:p>
            <w:pPr>
              <w:pStyle w:val="Normal"/>
              <w:widowControl/>
              <w:bidi w:val="0"/>
              <w:spacing w:lineRule="auto" w:line="259" w:before="0" w:after="160"/>
              <w:jc w:val="left"/>
              <w:rPr>
                <w:rFonts w:ascii="Helvetica" w:hAnsi="Helvetica" w:eastAsia="Times New Roman" w:cs="Times New Roman"/>
                <w:color w:val="444444"/>
                <w:sz w:val="17"/>
                <w:szCs w:val="17"/>
                <w:lang w:eastAsia="fr-FR"/>
              </w:rPr>
            </w:pPr>
            <w:r>
              <w:rPr/>
              <w:t>Le lien entre l’exemple et l’élément retenu est pertinent.</w:t>
            </w:r>
          </w:p>
        </w:tc>
        <w:tc>
          <w:tcPr>
            <w:tcW w:w="2268"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lineRule="auto" w:line="240" w:before="0" w:after="0"/>
              <w:rPr>
                <w:rFonts w:ascii="Cambria" w:hAnsi="Cambria" w:eastAsia="Times New Roman" w:cs="Times New Roman"/>
                <w:i/>
                <w:i/>
                <w:iCs/>
                <w:color w:val="000000"/>
                <w:lang w:eastAsia="fr-FR"/>
              </w:rPr>
            </w:pPr>
            <w:r>
              <w:rPr>
                <w:rFonts w:eastAsia="Times New Roman" w:cs="Times New Roman" w:ascii="Cambria" w:hAnsi="Cambria"/>
                <w:i/>
                <w:iCs/>
                <w:color w:val="000000"/>
                <w:lang w:eastAsia="fr-FR"/>
              </w:rPr>
            </w:r>
          </w:p>
          <w:p>
            <w:pPr>
              <w:pStyle w:val="Normal"/>
              <w:spacing w:lineRule="auto" w:line="240" w:before="0" w:after="0"/>
              <w:rPr>
                <w:rFonts w:ascii="Helvetica" w:hAnsi="Helvetica" w:eastAsia="Times New Roman" w:cs="Times New Roman"/>
                <w:color w:val="444444"/>
                <w:sz w:val="17"/>
                <w:szCs w:val="17"/>
                <w:lang w:eastAsia="fr-FR"/>
              </w:rPr>
            </w:pPr>
            <w:r>
              <w:rPr>
                <w:rFonts w:eastAsia="Times New Roman" w:cs="Times New Roman" w:ascii="Helvetica" w:hAnsi="Helvetica"/>
                <w:color w:val="444444"/>
                <w:sz w:val="17"/>
                <w:szCs w:val="17"/>
                <w:lang w:eastAsia="fr-FR"/>
              </w:rPr>
            </w:r>
          </w:p>
          <w:p>
            <w:pPr>
              <w:pStyle w:val="Normal"/>
              <w:spacing w:lineRule="auto" w:line="240" w:before="0" w:after="0"/>
              <w:rPr>
                <w:rFonts w:ascii="Helvetica" w:hAnsi="Helvetica" w:eastAsia="Times New Roman" w:cs="Times New Roman"/>
                <w:color w:val="444444"/>
                <w:sz w:val="17"/>
                <w:szCs w:val="17"/>
                <w:lang w:eastAsia="fr-FR"/>
              </w:rPr>
            </w:pPr>
            <w:r>
              <w:rPr>
                <w:rFonts w:eastAsia="Times New Roman" w:cs="Times New Roman" w:ascii="Helvetica" w:hAnsi="Helvetica"/>
                <w:color w:val="444444"/>
                <w:sz w:val="17"/>
                <w:szCs w:val="17"/>
                <w:lang w:eastAsia="fr-FR"/>
              </w:rPr>
            </w:r>
          </w:p>
          <w:p>
            <w:pPr>
              <w:pStyle w:val="Normal"/>
              <w:spacing w:lineRule="auto" w:line="240" w:before="0" w:after="0"/>
              <w:rPr>
                <w:rFonts w:ascii="Helvetica" w:hAnsi="Helvetica" w:eastAsia="Times New Roman" w:cs="Times New Roman"/>
                <w:color w:val="444444"/>
                <w:sz w:val="17"/>
                <w:szCs w:val="17"/>
                <w:lang w:eastAsia="fr-FR"/>
              </w:rPr>
            </w:pPr>
            <w:r>
              <w:rPr>
                <w:rFonts w:eastAsia="Times New Roman" w:cs="Times New Roman" w:ascii="Helvetica" w:hAnsi="Helvetica"/>
                <w:color w:val="444444"/>
                <w:sz w:val="17"/>
                <w:szCs w:val="17"/>
                <w:lang w:eastAsia="fr-FR"/>
              </w:rPr>
            </w:r>
          </w:p>
          <w:p>
            <w:pPr>
              <w:pStyle w:val="Normal"/>
              <w:spacing w:lineRule="auto" w:line="240" w:before="0" w:after="0"/>
              <w:rPr>
                <w:rFonts w:ascii="Helvetica" w:hAnsi="Helvetica" w:eastAsia="Times New Roman" w:cs="Times New Roman"/>
                <w:color w:val="444444"/>
                <w:sz w:val="17"/>
                <w:szCs w:val="17"/>
                <w:lang w:eastAsia="fr-FR"/>
              </w:rPr>
            </w:pPr>
            <w:r>
              <w:rPr>
                <w:rFonts w:eastAsia="Times New Roman" w:cs="Times New Roman" w:ascii="Helvetica" w:hAnsi="Helvetica"/>
                <w:color w:val="444444"/>
                <w:sz w:val="17"/>
                <w:szCs w:val="17"/>
                <w:lang w:eastAsia="fr-FR"/>
              </w:rPr>
            </w:r>
          </w:p>
          <w:p>
            <w:pPr>
              <w:pStyle w:val="Normal"/>
              <w:spacing w:lineRule="auto" w:line="240" w:before="0" w:after="0"/>
              <w:jc w:val="center"/>
              <w:rPr/>
            </w:pPr>
            <w:r>
              <w:rPr>
                <w:rFonts w:eastAsia="Times New Roman" w:cs="Times New Roman" w:ascii="Helvetica" w:hAnsi="Helvetica"/>
                <w:color w:val="444444"/>
                <w:sz w:val="20"/>
                <w:szCs w:val="20"/>
                <w:lang w:eastAsia="fr-FR"/>
              </w:rPr>
              <w:t>/1 pt</w:t>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t>/1 pt</w:t>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r>
          </w:p>
          <w:p>
            <w:pPr>
              <w:pStyle w:val="Normal"/>
              <w:spacing w:lineRule="auto" w:line="240" w:before="0" w:after="0"/>
              <w:jc w:val="center"/>
              <w:rPr>
                <w:rFonts w:ascii="Helvetica" w:hAnsi="Helvetica" w:eastAsia="Times New Roman" w:cs="Times New Roman"/>
                <w:color w:val="444444"/>
                <w:sz w:val="20"/>
                <w:szCs w:val="20"/>
                <w:lang w:eastAsia="fr-FR"/>
              </w:rPr>
            </w:pPr>
            <w:r>
              <w:rPr>
                <w:rFonts w:eastAsia="Times New Roman" w:cs="Times New Roman" w:ascii="Helvetica" w:hAnsi="Helvetica"/>
                <w:color w:val="444444"/>
                <w:sz w:val="20"/>
                <w:szCs w:val="20"/>
                <w:lang w:eastAsia="fr-FR"/>
              </w:rPr>
              <w:t>/2 pts</w:t>
            </w:r>
          </w:p>
          <w:p>
            <w:pPr>
              <w:pStyle w:val="Normal"/>
              <w:spacing w:lineRule="auto" w:line="240" w:before="0" w:after="0"/>
              <w:rPr>
                <w:rFonts w:ascii="Helvetica" w:hAnsi="Helvetica" w:eastAsia="Times New Roman" w:cs="Times New Roman"/>
                <w:color w:val="444444"/>
                <w:sz w:val="17"/>
                <w:szCs w:val="17"/>
                <w:lang w:eastAsia="fr-FR"/>
              </w:rPr>
            </w:pPr>
            <w:r>
              <w:rPr>
                <w:rFonts w:eastAsia="Times New Roman" w:cs="Times New Roman" w:ascii="Helvetica" w:hAnsi="Helvetica"/>
                <w:color w:val="444444"/>
                <w:sz w:val="17"/>
                <w:szCs w:val="17"/>
                <w:lang w:eastAsia="fr-FR"/>
              </w:rPr>
              <w:t> </w:t>
            </w:r>
          </w:p>
          <w:p>
            <w:pPr>
              <w:pStyle w:val="Normal"/>
              <w:spacing w:lineRule="auto" w:line="240" w:before="0" w:after="0"/>
              <w:rPr>
                <w:rFonts w:ascii="Helvetica" w:hAnsi="Helvetica" w:eastAsia="Times New Roman" w:cs="Times New Roman"/>
                <w:color w:val="444444"/>
                <w:sz w:val="17"/>
                <w:szCs w:val="17"/>
                <w:lang w:eastAsia="fr-FR"/>
              </w:rPr>
            </w:pPr>
            <w:r>
              <w:rPr>
                <w:rFonts w:eastAsia="Times New Roman" w:cs="Times New Roman" w:ascii="Helvetica" w:hAnsi="Helvetica"/>
                <w:color w:val="444444"/>
                <w:sz w:val="17"/>
                <w:szCs w:val="17"/>
                <w:lang w:eastAsia="fr-FR"/>
              </w:rPr>
              <w:t> </w:t>
            </w:r>
            <w:bookmarkStart w:id="0" w:name="_GoBack"/>
            <w:bookmarkEnd w:id="0"/>
          </w:p>
        </w:tc>
      </w:tr>
    </w:tbl>
    <w:p>
      <w:pPr>
        <w:pStyle w:val="Normal"/>
        <w:spacing w:lineRule="auto" w:line="240" w:before="0" w:after="0"/>
        <w:jc w:val="both"/>
        <w:rPr>
          <w:rFonts w:ascii="onlyofficeDefaultFont" w:hAnsi="onlyofficeDefaultFont" w:eastAsia="Times New Roman" w:cs="Arial"/>
          <w:color w:val="000000"/>
          <w:lang w:eastAsia="fr-FR"/>
        </w:rPr>
      </w:pPr>
      <w:r>
        <w:rPr>
          <w:rFonts w:eastAsia="Times New Roman" w:cs="Arial" w:ascii="onlyofficeDefaultFont" w:hAnsi="onlyofficeDefaultFont"/>
          <w:color w:val="000000"/>
          <w:lang w:eastAsia="fr-FR"/>
        </w:rPr>
      </w:r>
    </w:p>
    <w:p>
      <w:pPr>
        <w:pStyle w:val="Normal"/>
        <w:spacing w:lineRule="auto" w:line="240" w:before="0" w:after="0"/>
        <w:jc w:val="both"/>
        <w:rPr>
          <w:rFonts w:ascii="onlyofficeDefaultFont" w:hAnsi="onlyofficeDefaultFont" w:eastAsia="Times New Roman" w:cs="Arial"/>
          <w:color w:val="000000"/>
          <w:lang w:eastAsia="fr-FR"/>
        </w:rPr>
      </w:pPr>
      <w:r>
        <w:rPr>
          <w:rFonts w:eastAsia="Times New Roman" w:cs="Arial" w:ascii="onlyofficeDefaultFont" w:hAnsi="onlyofficeDefaultFont"/>
          <w:color w:val="000000"/>
          <w:lang w:eastAsia="fr-FR"/>
        </w:rPr>
        <w:t> </w:t>
      </w:r>
    </w:p>
    <w:p>
      <w:pPr>
        <w:pStyle w:val="Normal"/>
        <w:keepNext w:val="true"/>
        <w:jc w:val="center"/>
        <w:rPr>
          <w:sz w:val="32"/>
        </w:rPr>
      </w:pPr>
      <w:r>
        <w:rPr>
          <w:sz w:val="32"/>
        </w:rPr>
        <w:t>Obtention du baccalauréat selon l’âge et le milieu social en 2012 (en%)</w:t>
      </w:r>
    </w:p>
    <w:p>
      <w:pPr>
        <w:pStyle w:val="Normal"/>
        <w:keepNext w:val="true"/>
        <w:rPr/>
      </w:pPr>
      <w:r>
        <w:rPr/>
        <w:drawing>
          <wp:inline distT="0" distB="0" distL="0" distR="0">
            <wp:extent cx="6074410" cy="401002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rcRect l="38531" t="19790" r="11709" b="21809"/>
                    <a:stretch>
                      <a:fillRect/>
                    </a:stretch>
                  </pic:blipFill>
                  <pic:spPr bwMode="auto">
                    <a:xfrm>
                      <a:off x="0" y="0"/>
                      <a:ext cx="6074410" cy="4010025"/>
                    </a:xfrm>
                    <a:prstGeom prst="rect">
                      <a:avLst/>
                    </a:prstGeom>
                  </pic:spPr>
                </pic:pic>
              </a:graphicData>
            </a:graphic>
          </wp:inline>
        </w:drawing>
      </w:r>
    </w:p>
    <w:p>
      <w:pPr>
        <w:pStyle w:val="Normal"/>
        <w:keepNext w:val="true"/>
        <w:rPr/>
      </w:pPr>
      <w:r>
        <w:rPr/>
        <w:t>Source : Ministère de l’enseignement supérieur, de la recherche et de l’innovation, d’après INSEE (enquête Emploi)</w:t>
      </w:r>
    </w:p>
    <w:p>
      <w:pPr>
        <w:pStyle w:val="Normal"/>
        <w:spacing w:lineRule="auto" w:line="240" w:before="0" w:after="0"/>
        <w:jc w:val="both"/>
        <w:rPr>
          <w:rFonts w:ascii="onlyofficeDefaultFont" w:hAnsi="onlyofficeDefaultFont" w:eastAsia="Times New Roman" w:cs="Arial"/>
          <w:color w:val="000000"/>
          <w:lang w:eastAsia="fr-FR"/>
        </w:rPr>
      </w:pPr>
      <w:r>
        <w:rPr>
          <w:rFonts w:eastAsia="Times New Roman" w:cs="Arial" w:ascii="Cambria" w:hAnsi="Cambria"/>
          <w:b/>
          <w:bCs/>
          <w:color w:val="000000"/>
          <w:lang w:eastAsia="fr-FR"/>
        </w:rPr>
        <w:t>Partie 2</w:t>
      </w:r>
      <w:r>
        <w:rPr>
          <w:rFonts w:eastAsia="Times New Roman" w:cs="Arial" w:ascii="Cambria" w:hAnsi="Cambria"/>
          <w:color w:val="000000"/>
          <w:lang w:eastAsia="fr-FR"/>
        </w:rPr>
        <w:t> - Étude d'un document (6 points)</w:t>
      </w:r>
    </w:p>
    <w:p>
      <w:pPr>
        <w:pStyle w:val="ListParagraph"/>
        <w:numPr>
          <w:ilvl w:val="0"/>
          <w:numId w:val="2"/>
        </w:numPr>
        <w:rPr/>
      </w:pPr>
      <w:r>
        <w:rPr/>
        <w:t>Montrez à l’aide de données chiffrées les inégalités mises en évidence sur le document (2pts).</w:t>
      </w:r>
    </w:p>
    <w:p>
      <w:pPr>
        <w:pStyle w:val="ListParagraph"/>
        <w:numPr>
          <w:ilvl w:val="0"/>
          <w:numId w:val="2"/>
        </w:numPr>
        <w:rPr/>
      </w:pPr>
      <w:r>
        <w:rPr/>
        <w:t>À l’aide du document et de vos connaissances, montrez comment ont évolué les inégalités en termes de réussite scolaire (4pts).</w:t>
      </w:r>
    </w:p>
    <w:p>
      <w:pPr>
        <w:pStyle w:val="Normal"/>
        <w:rPr/>
      </w:pPr>
      <w:r>
        <w:rPr/>
        <w:t>Grille d’évaluation de l’EC2 (attendus académiques dans le cadre du baccalauréat)</w:t>
      </w:r>
    </w:p>
    <w:tbl>
      <w:tblPr>
        <w:tblStyle w:val="Grilledutableau"/>
        <w:tblW w:w="9062" w:type="dxa"/>
        <w:jc w:val="left"/>
        <w:tblInd w:w="0" w:type="dxa"/>
        <w:tblCellMar>
          <w:top w:w="0" w:type="dxa"/>
          <w:left w:w="108" w:type="dxa"/>
          <w:bottom w:w="0" w:type="dxa"/>
          <w:right w:w="108" w:type="dxa"/>
        </w:tblCellMar>
        <w:tblLook w:firstRow="1" w:noVBand="1" w:lastRow="0" w:firstColumn="1" w:lastColumn="0" w:noHBand="0" w:val="04a0"/>
      </w:tblPr>
      <w:tblGrid>
        <w:gridCol w:w="2268"/>
        <w:gridCol w:w="2828"/>
        <w:gridCol w:w="2551"/>
        <w:gridCol w:w="1414"/>
      </w:tblGrid>
      <w:tr>
        <w:trPr/>
        <w:tc>
          <w:tcPr>
            <w:tcW w:w="2268" w:type="dxa"/>
            <w:tcBorders/>
            <w:shd w:fill="auto" w:val="clear"/>
          </w:tcPr>
          <w:p>
            <w:pPr>
              <w:pStyle w:val="Normal"/>
              <w:spacing w:lineRule="auto" w:line="240" w:before="0" w:after="0"/>
              <w:rPr/>
            </w:pPr>
            <w:r>
              <w:rPr/>
              <w:t>Question 1</w:t>
            </w:r>
          </w:p>
        </w:tc>
        <w:tc>
          <w:tcPr>
            <w:tcW w:w="2828" w:type="dxa"/>
            <w:tcBorders/>
            <w:shd w:fill="auto" w:val="clear"/>
          </w:tcPr>
          <w:p>
            <w:pPr>
              <w:pStyle w:val="Normal"/>
              <w:spacing w:lineRule="auto" w:line="240" w:before="0" w:after="0"/>
              <w:rPr/>
            </w:pPr>
            <w:r>
              <w:rPr/>
              <w:t>Attentes</w:t>
            </w:r>
          </w:p>
        </w:tc>
        <w:tc>
          <w:tcPr>
            <w:tcW w:w="2551" w:type="dxa"/>
            <w:tcBorders/>
            <w:shd w:fill="auto" w:val="clear"/>
          </w:tcPr>
          <w:p>
            <w:pPr>
              <w:pStyle w:val="Normal"/>
              <w:spacing w:lineRule="auto" w:line="240" w:before="0" w:after="0"/>
              <w:rPr/>
            </w:pPr>
            <w:r>
              <w:rPr/>
              <w:t>Points de vigilance</w:t>
            </w:r>
          </w:p>
        </w:tc>
        <w:tc>
          <w:tcPr>
            <w:tcW w:w="1414" w:type="dxa"/>
            <w:tcBorders/>
            <w:shd w:fill="auto" w:val="clear"/>
          </w:tcPr>
          <w:p>
            <w:pPr>
              <w:pStyle w:val="Normal"/>
              <w:spacing w:lineRule="auto" w:line="240" w:before="0" w:after="0"/>
              <w:rPr/>
            </w:pPr>
            <w:r>
              <w:rPr/>
              <w:t>Répartition des points</w:t>
            </w:r>
          </w:p>
        </w:tc>
      </w:tr>
      <w:tr>
        <w:trPr/>
        <w:tc>
          <w:tcPr>
            <w:tcW w:w="2268" w:type="dxa"/>
            <w:vMerge w:val="restart"/>
            <w:tcBorders/>
            <w:shd w:fill="auto" w:val="clear"/>
          </w:tcPr>
          <w:p>
            <w:pPr>
              <w:pStyle w:val="Normal"/>
              <w:spacing w:lineRule="auto" w:line="240" w:before="0" w:after="0"/>
              <w:ind w:left="92" w:hanging="0"/>
              <w:rPr/>
            </w:pPr>
            <w:r>
              <w:rPr/>
              <w:t>Montrez à l’aide de données chiffrées les inégalités mises en évidence sur le document.</w:t>
            </w:r>
          </w:p>
        </w:tc>
        <w:tc>
          <w:tcPr>
            <w:tcW w:w="2828" w:type="dxa"/>
            <w:tcBorders/>
            <w:shd w:fill="auto" w:val="clear"/>
          </w:tcPr>
          <w:p>
            <w:pPr>
              <w:pStyle w:val="ListParagraph"/>
              <w:numPr>
                <w:ilvl w:val="0"/>
                <w:numId w:val="4"/>
              </w:numPr>
              <w:spacing w:lineRule="auto" w:line="240" w:before="0" w:after="0"/>
              <w:ind w:left="172" w:hanging="218"/>
              <w:contextualSpacing/>
              <w:rPr/>
            </w:pPr>
            <w:r>
              <w:rPr/>
              <w:t>Capacité à comprendre le sens de la question</w:t>
            </w:r>
          </w:p>
          <w:p>
            <w:pPr>
              <w:pStyle w:val="Normal"/>
              <w:spacing w:lineRule="auto" w:line="240" w:before="0" w:after="0"/>
              <w:ind w:left="172" w:hanging="218"/>
              <w:rPr/>
            </w:pPr>
            <w:r>
              <w:rPr/>
            </w:r>
          </w:p>
        </w:tc>
        <w:tc>
          <w:tcPr>
            <w:tcW w:w="2551" w:type="dxa"/>
            <w:tcBorders/>
            <w:shd w:fill="auto" w:val="clear"/>
          </w:tcPr>
          <w:p>
            <w:pPr>
              <w:pStyle w:val="Normal"/>
              <w:spacing w:lineRule="auto" w:line="240" w:before="0" w:after="0"/>
              <w:rPr/>
            </w:pPr>
            <w:r>
              <w:rPr/>
              <w:t>Les inégalités sociales ET générationnelles doivent être prises en compte.</w:t>
            </w:r>
          </w:p>
        </w:tc>
        <w:tc>
          <w:tcPr>
            <w:tcW w:w="1414" w:type="dxa"/>
            <w:tcBorders/>
            <w:shd w:fill="auto" w:val="clear"/>
          </w:tcPr>
          <w:p>
            <w:pPr>
              <w:pStyle w:val="Normal"/>
              <w:spacing w:lineRule="auto" w:line="240" w:before="0" w:after="0"/>
              <w:rPr/>
            </w:pPr>
            <w:r>
              <w:rPr/>
              <w:t>0.5</w:t>
            </w:r>
          </w:p>
        </w:tc>
      </w:tr>
      <w:tr>
        <w:trPr/>
        <w:tc>
          <w:tcPr>
            <w:tcW w:w="2268" w:type="dxa"/>
            <w:vMerge w:val="continue"/>
            <w:tcBorders/>
            <w:shd w:fill="auto" w:val="clear"/>
          </w:tcPr>
          <w:p>
            <w:pPr>
              <w:pStyle w:val="Normal"/>
              <w:spacing w:lineRule="auto" w:line="240" w:before="0" w:after="0"/>
              <w:rPr/>
            </w:pPr>
            <w:r>
              <w:rPr/>
            </w:r>
          </w:p>
        </w:tc>
        <w:tc>
          <w:tcPr>
            <w:tcW w:w="2828" w:type="dxa"/>
            <w:tcBorders/>
            <w:shd w:fill="auto" w:val="clear"/>
          </w:tcPr>
          <w:p>
            <w:pPr>
              <w:pStyle w:val="ListParagraph"/>
              <w:numPr>
                <w:ilvl w:val="0"/>
                <w:numId w:val="4"/>
              </w:numPr>
              <w:spacing w:lineRule="auto" w:line="240" w:before="0" w:after="0"/>
              <w:ind w:left="172" w:hanging="218"/>
              <w:contextualSpacing/>
              <w:rPr/>
            </w:pPr>
            <w:r>
              <w:rPr/>
              <w:t xml:space="preserve">Capacité à </w:t>
            </w:r>
            <w:r>
              <w:rPr/>
              <w:t>maîtriser</w:t>
            </w:r>
            <w:r>
              <w:rPr/>
              <w:t xml:space="preserve"> l’utilisation des données quantitatives et des représentations graphiques</w:t>
            </w:r>
          </w:p>
        </w:tc>
        <w:tc>
          <w:tcPr>
            <w:tcW w:w="2551" w:type="dxa"/>
            <w:tcBorders/>
            <w:shd w:fill="auto" w:val="clear"/>
          </w:tcPr>
          <w:p>
            <w:pPr>
              <w:pStyle w:val="Normal"/>
              <w:spacing w:lineRule="auto" w:line="240" w:before="0" w:after="0"/>
              <w:rPr/>
            </w:pPr>
            <w:r>
              <w:rPr/>
              <w:t>Lecture de % : x% de…</w:t>
            </w:r>
          </w:p>
          <w:p>
            <w:pPr>
              <w:pStyle w:val="Normal"/>
              <w:spacing w:lineRule="auto" w:line="240" w:before="0" w:after="0"/>
              <w:rPr/>
            </w:pPr>
            <w:r>
              <w:rPr/>
              <w:t xml:space="preserve">Date / source </w:t>
            </w:r>
          </w:p>
        </w:tc>
        <w:tc>
          <w:tcPr>
            <w:tcW w:w="1414" w:type="dxa"/>
            <w:tcBorders/>
            <w:shd w:fill="auto" w:val="clear"/>
          </w:tcPr>
          <w:p>
            <w:pPr>
              <w:pStyle w:val="Normal"/>
              <w:spacing w:lineRule="auto" w:line="240" w:before="0" w:after="0"/>
              <w:rPr/>
            </w:pPr>
            <w:r>
              <w:rPr/>
              <w:t>1</w:t>
            </w:r>
          </w:p>
        </w:tc>
      </w:tr>
      <w:tr>
        <w:trPr/>
        <w:tc>
          <w:tcPr>
            <w:tcW w:w="2268" w:type="dxa"/>
            <w:vMerge w:val="continue"/>
            <w:tcBorders/>
            <w:shd w:fill="auto" w:val="clear"/>
          </w:tcPr>
          <w:p>
            <w:pPr>
              <w:pStyle w:val="Normal"/>
              <w:spacing w:lineRule="auto" w:line="240" w:before="0" w:after="0"/>
              <w:ind w:left="360" w:hanging="0"/>
              <w:rPr/>
            </w:pPr>
            <w:r>
              <w:rPr/>
            </w:r>
          </w:p>
        </w:tc>
        <w:tc>
          <w:tcPr>
            <w:tcW w:w="2828" w:type="dxa"/>
            <w:tcBorders/>
            <w:shd w:fill="auto" w:val="clear"/>
          </w:tcPr>
          <w:p>
            <w:pPr>
              <w:pStyle w:val="ListParagraph"/>
              <w:numPr>
                <w:ilvl w:val="0"/>
                <w:numId w:val="4"/>
              </w:numPr>
              <w:spacing w:lineRule="auto" w:line="240" w:before="0" w:after="0"/>
              <w:ind w:left="172" w:hanging="218"/>
              <w:contextualSpacing/>
              <w:rPr/>
            </w:pPr>
            <w:r>
              <w:rPr/>
              <w:t>Capacité à répondre à la question posée</w:t>
            </w:r>
          </w:p>
        </w:tc>
        <w:tc>
          <w:tcPr>
            <w:tcW w:w="2551" w:type="dxa"/>
            <w:tcBorders/>
            <w:shd w:fill="auto" w:val="clear"/>
          </w:tcPr>
          <w:p>
            <w:pPr>
              <w:pStyle w:val="Normal"/>
              <w:spacing w:lineRule="auto" w:line="240" w:before="0" w:after="0"/>
              <w:rPr/>
            </w:pPr>
            <w:r>
              <w:rPr/>
              <w:t>Pas de hors sujet.</w:t>
            </w:r>
          </w:p>
        </w:tc>
        <w:tc>
          <w:tcPr>
            <w:tcW w:w="1414" w:type="dxa"/>
            <w:tcBorders/>
            <w:shd w:fill="auto" w:val="clear"/>
          </w:tcPr>
          <w:p>
            <w:pPr>
              <w:pStyle w:val="Normal"/>
              <w:spacing w:lineRule="auto" w:line="240" w:before="0" w:after="0"/>
              <w:rPr/>
            </w:pPr>
            <w:r>
              <w:rPr/>
              <w:t>0.5</w:t>
            </w:r>
          </w:p>
        </w:tc>
      </w:tr>
      <w:tr>
        <w:trPr/>
        <w:tc>
          <w:tcPr>
            <w:tcW w:w="2268" w:type="dxa"/>
            <w:tcBorders/>
            <w:shd w:fill="auto" w:val="clear"/>
          </w:tcPr>
          <w:p>
            <w:pPr>
              <w:pStyle w:val="Normal"/>
              <w:spacing w:lineRule="auto" w:line="240" w:before="0" w:after="0"/>
              <w:ind w:left="-44" w:hanging="0"/>
              <w:rPr/>
            </w:pPr>
            <w:r>
              <w:rPr/>
              <w:t>Question 2</w:t>
            </w:r>
          </w:p>
        </w:tc>
        <w:tc>
          <w:tcPr>
            <w:tcW w:w="2828" w:type="dxa"/>
            <w:tcBorders/>
            <w:shd w:fill="auto" w:val="clear"/>
          </w:tcPr>
          <w:p>
            <w:pPr>
              <w:pStyle w:val="Normal"/>
              <w:spacing w:lineRule="auto" w:line="240" w:before="0" w:after="0"/>
              <w:rPr/>
            </w:pPr>
            <w:r>
              <w:rPr/>
              <w:t>Attentes</w:t>
            </w:r>
          </w:p>
        </w:tc>
        <w:tc>
          <w:tcPr>
            <w:tcW w:w="2551" w:type="dxa"/>
            <w:tcBorders/>
            <w:shd w:fill="auto" w:val="clear"/>
          </w:tcPr>
          <w:p>
            <w:pPr>
              <w:pStyle w:val="Normal"/>
              <w:spacing w:lineRule="auto" w:line="240" w:before="0" w:after="0"/>
              <w:rPr/>
            </w:pPr>
            <w:r>
              <w:rPr/>
              <w:t>Points de vigilance</w:t>
            </w:r>
          </w:p>
        </w:tc>
        <w:tc>
          <w:tcPr>
            <w:tcW w:w="1414" w:type="dxa"/>
            <w:tcBorders/>
            <w:shd w:fill="auto" w:val="clear"/>
          </w:tcPr>
          <w:p>
            <w:pPr>
              <w:pStyle w:val="Normal"/>
              <w:spacing w:lineRule="auto" w:line="240" w:before="0" w:after="0"/>
              <w:rPr/>
            </w:pPr>
            <w:r>
              <w:rPr/>
              <w:t>Répartition des points</w:t>
            </w:r>
          </w:p>
        </w:tc>
      </w:tr>
      <w:tr>
        <w:trPr/>
        <w:tc>
          <w:tcPr>
            <w:tcW w:w="2268" w:type="dxa"/>
            <w:tcBorders/>
            <w:shd w:fill="auto" w:val="clear"/>
          </w:tcPr>
          <w:p>
            <w:pPr>
              <w:pStyle w:val="Normal"/>
              <w:spacing w:lineRule="auto" w:line="240" w:before="0" w:after="0"/>
              <w:ind w:left="97" w:hanging="0"/>
              <w:rPr/>
            </w:pPr>
            <w:r>
              <w:rPr/>
              <w:t>À l’aide du document et de vos connaissances, montrez comment ont évolué les inégalités en termes de réussite scolaire.</w:t>
            </w:r>
          </w:p>
          <w:p>
            <w:pPr>
              <w:pStyle w:val="Normal"/>
              <w:spacing w:lineRule="auto" w:line="240" w:before="0" w:after="0"/>
              <w:rPr/>
            </w:pPr>
            <w:r>
              <w:rPr/>
            </w:r>
          </w:p>
        </w:tc>
        <w:tc>
          <w:tcPr>
            <w:tcW w:w="2828" w:type="dxa"/>
            <w:tcBorders/>
            <w:shd w:fill="auto" w:val="clear"/>
          </w:tcPr>
          <w:p>
            <w:pPr>
              <w:pStyle w:val="ListParagraph"/>
              <w:numPr>
                <w:ilvl w:val="0"/>
                <w:numId w:val="3"/>
              </w:numPr>
              <w:spacing w:lineRule="auto" w:line="240" w:before="0" w:after="0"/>
              <w:ind w:left="172" w:hanging="218"/>
              <w:contextualSpacing/>
              <w:rPr/>
            </w:pPr>
            <w:r>
              <w:rPr/>
              <w:t>Capacité à comprendre le sens de la question</w:t>
            </w:r>
          </w:p>
          <w:p>
            <w:pPr>
              <w:pStyle w:val="Normal"/>
              <w:spacing w:lineRule="auto" w:line="240" w:before="0" w:after="0"/>
              <w:ind w:left="172" w:hanging="218"/>
              <w:rPr/>
            </w:pPr>
            <w:r>
              <w:rPr/>
            </w:r>
          </w:p>
        </w:tc>
        <w:tc>
          <w:tcPr>
            <w:tcW w:w="2551" w:type="dxa"/>
            <w:tcBorders/>
            <w:shd w:fill="auto" w:val="clear"/>
          </w:tcPr>
          <w:p>
            <w:pPr>
              <w:pStyle w:val="Normal"/>
              <w:spacing w:lineRule="auto" w:line="240" w:before="0" w:after="0"/>
              <w:rPr/>
            </w:pPr>
            <w:r>
              <w:rPr/>
              <w:t>La prise en compte des effets générationnels sur la réussite au baccalauréat mise en relation avec d’autres connaissances.</w:t>
            </w:r>
          </w:p>
        </w:tc>
        <w:tc>
          <w:tcPr>
            <w:tcW w:w="1414" w:type="dxa"/>
            <w:tcBorders/>
            <w:shd w:fill="auto" w:val="clear"/>
          </w:tcPr>
          <w:p>
            <w:pPr>
              <w:pStyle w:val="Normal"/>
              <w:spacing w:lineRule="auto" w:line="240" w:before="0" w:after="0"/>
              <w:rPr/>
            </w:pPr>
            <w:r>
              <w:rPr/>
              <w:t>1 point.</w:t>
            </w:r>
          </w:p>
        </w:tc>
      </w:tr>
      <w:tr>
        <w:trPr/>
        <w:tc>
          <w:tcPr>
            <w:tcW w:w="2268" w:type="dxa"/>
            <w:tcBorders/>
            <w:shd w:fill="auto" w:val="clear"/>
          </w:tcPr>
          <w:p>
            <w:pPr>
              <w:pStyle w:val="Normal"/>
              <w:spacing w:lineRule="auto" w:line="240" w:before="0" w:after="0"/>
              <w:rPr/>
            </w:pPr>
            <w:r>
              <w:rPr/>
            </w:r>
          </w:p>
        </w:tc>
        <w:tc>
          <w:tcPr>
            <w:tcW w:w="2828" w:type="dxa"/>
            <w:tcBorders/>
            <w:shd w:fill="auto" w:val="clear"/>
          </w:tcPr>
          <w:p>
            <w:pPr>
              <w:pStyle w:val="ListParagraph"/>
              <w:numPr>
                <w:ilvl w:val="0"/>
                <w:numId w:val="3"/>
              </w:numPr>
              <w:spacing w:lineRule="auto" w:line="240" w:before="0" w:after="0"/>
              <w:ind w:left="172" w:hanging="218"/>
              <w:contextualSpacing/>
              <w:rPr/>
            </w:pPr>
            <w:r>
              <w:rPr/>
              <w:t xml:space="preserve">Capacité à </w:t>
            </w:r>
            <w:r>
              <w:rPr/>
              <w:t>maîtriser</w:t>
            </w:r>
            <w:r>
              <w:rPr/>
              <w:t xml:space="preserve"> l’utilisation des données quantitatives et des représentations graphiques</w:t>
            </w:r>
          </w:p>
        </w:tc>
        <w:tc>
          <w:tcPr>
            <w:tcW w:w="2551" w:type="dxa"/>
            <w:tcBorders/>
            <w:shd w:fill="auto" w:val="clear"/>
          </w:tcPr>
          <w:p>
            <w:pPr>
              <w:pStyle w:val="Normal"/>
              <w:spacing w:lineRule="auto" w:line="240" w:before="0" w:after="0"/>
              <w:rPr/>
            </w:pPr>
            <w:r>
              <w:rPr/>
              <w:t>Lecture de % : x% de…</w:t>
            </w:r>
          </w:p>
          <w:p>
            <w:pPr>
              <w:pStyle w:val="Normal"/>
              <w:spacing w:lineRule="auto" w:line="240" w:before="0" w:after="0"/>
              <w:rPr/>
            </w:pPr>
            <w:r>
              <w:rPr/>
              <w:t xml:space="preserve">Date / source </w:t>
            </w:r>
          </w:p>
          <w:p>
            <w:pPr>
              <w:pStyle w:val="Normal"/>
              <w:spacing w:lineRule="auto" w:line="240" w:before="0" w:after="0"/>
              <w:rPr/>
            </w:pPr>
            <w:r>
              <w:rPr/>
              <w:t xml:space="preserve">Les données sélectionnées doivent être pertinentes. </w:t>
            </w:r>
          </w:p>
        </w:tc>
        <w:tc>
          <w:tcPr>
            <w:tcW w:w="1414" w:type="dxa"/>
            <w:tcBorders/>
            <w:shd w:fill="auto" w:val="clear"/>
          </w:tcPr>
          <w:p>
            <w:pPr>
              <w:pStyle w:val="Normal"/>
              <w:spacing w:lineRule="auto" w:line="240" w:before="0" w:after="0"/>
              <w:rPr/>
            </w:pPr>
            <w:r>
              <w:rPr/>
              <w:t>1 point.</w:t>
            </w:r>
          </w:p>
        </w:tc>
      </w:tr>
      <w:tr>
        <w:trPr/>
        <w:tc>
          <w:tcPr>
            <w:tcW w:w="2268" w:type="dxa"/>
            <w:tcBorders/>
            <w:shd w:fill="auto" w:val="clear"/>
          </w:tcPr>
          <w:p>
            <w:pPr>
              <w:pStyle w:val="Normal"/>
              <w:spacing w:lineRule="auto" w:line="240" w:before="0" w:after="0"/>
              <w:rPr/>
            </w:pPr>
            <w:r>
              <w:rPr/>
            </w:r>
          </w:p>
        </w:tc>
        <w:tc>
          <w:tcPr>
            <w:tcW w:w="2828" w:type="dxa"/>
            <w:tcBorders/>
            <w:shd w:fill="auto" w:val="clear"/>
          </w:tcPr>
          <w:p>
            <w:pPr>
              <w:pStyle w:val="ListParagraph"/>
              <w:numPr>
                <w:ilvl w:val="0"/>
                <w:numId w:val="3"/>
              </w:numPr>
              <w:spacing w:lineRule="auto" w:line="240" w:before="0" w:after="0"/>
              <w:ind w:left="172" w:hanging="218"/>
              <w:contextualSpacing/>
              <w:rPr/>
            </w:pPr>
            <w:r>
              <w:rPr/>
              <w:t>Capacité à maîtriser les connaissances appropriées.</w:t>
            </w:r>
          </w:p>
        </w:tc>
        <w:tc>
          <w:tcPr>
            <w:tcW w:w="2551" w:type="dxa"/>
            <w:tcBorders/>
            <w:shd w:fill="auto" w:val="clear"/>
          </w:tcPr>
          <w:p>
            <w:pPr>
              <w:pStyle w:val="Normal"/>
              <w:spacing w:lineRule="auto" w:line="240" w:before="0" w:after="0"/>
              <w:ind w:left="28" w:hanging="0"/>
              <w:rPr/>
            </w:pPr>
            <w:r>
              <w:rPr/>
              <w:t>L’élève doit être capable d’argumenter sur l’évolution des inégalités scolaires ces dernières décennies.</w:t>
            </w:r>
          </w:p>
        </w:tc>
        <w:tc>
          <w:tcPr>
            <w:tcW w:w="1414" w:type="dxa"/>
            <w:tcBorders/>
            <w:shd w:fill="auto" w:val="clear"/>
          </w:tcPr>
          <w:p>
            <w:pPr>
              <w:pStyle w:val="Normal"/>
              <w:spacing w:lineRule="auto" w:line="240" w:before="0" w:after="0"/>
              <w:rPr/>
            </w:pPr>
            <w:r>
              <w:rPr/>
              <w:t>2 points</w:t>
            </w:r>
          </w:p>
        </w:tc>
      </w:tr>
      <w:tr>
        <w:trPr/>
        <w:tc>
          <w:tcPr>
            <w:tcW w:w="2268" w:type="dxa"/>
            <w:tcBorders/>
            <w:shd w:fill="auto" w:val="clear"/>
          </w:tcPr>
          <w:p>
            <w:pPr>
              <w:pStyle w:val="Normal"/>
              <w:spacing w:lineRule="auto" w:line="240" w:before="0" w:after="0"/>
              <w:rPr/>
            </w:pPr>
            <w:r>
              <w:rPr/>
            </w:r>
          </w:p>
        </w:tc>
        <w:tc>
          <w:tcPr>
            <w:tcW w:w="2828" w:type="dxa"/>
            <w:tcBorders/>
            <w:shd w:fill="auto" w:val="clear"/>
          </w:tcPr>
          <w:p>
            <w:pPr>
              <w:pStyle w:val="ListParagraph"/>
              <w:numPr>
                <w:ilvl w:val="0"/>
                <w:numId w:val="3"/>
              </w:numPr>
              <w:spacing w:lineRule="auto" w:line="240" w:before="0" w:after="0"/>
              <w:ind w:left="172" w:hanging="218"/>
              <w:contextualSpacing/>
              <w:rPr/>
            </w:pPr>
            <w:r>
              <w:rPr/>
              <w:t>Capacité à organiser sa réponse de façon cohérente</w:t>
            </w:r>
          </w:p>
        </w:tc>
        <w:tc>
          <w:tcPr>
            <w:tcW w:w="2551" w:type="dxa"/>
            <w:tcBorders/>
            <w:shd w:fill="auto" w:val="clear"/>
          </w:tcPr>
          <w:p>
            <w:pPr>
              <w:pStyle w:val="Normal"/>
              <w:spacing w:lineRule="auto" w:line="240" w:before="0" w:after="0"/>
              <w:rPr/>
            </w:pPr>
            <w:r>
              <w:rPr/>
              <w:t>Paragraphes AEI</w:t>
            </w:r>
          </w:p>
        </w:tc>
        <w:tc>
          <w:tcPr>
            <w:tcW w:w="1414" w:type="dxa"/>
            <w:tcBorders/>
            <w:shd w:fill="auto" w:val="clear"/>
          </w:tcPr>
          <w:p>
            <w:pPr>
              <w:pStyle w:val="Normal"/>
              <w:spacing w:lineRule="auto" w:line="240" w:before="0" w:after="0"/>
              <w:rPr/>
            </w:pPr>
            <w:r>
              <w:rPr/>
              <w:t>1 point</w:t>
            </w:r>
          </w:p>
        </w:tc>
      </w:tr>
    </w:tbl>
    <w:p>
      <w:pPr>
        <w:pStyle w:val="Normal"/>
        <w:rPr/>
      </w:pPr>
      <w:r>
        <w:rPr/>
      </w:r>
    </w:p>
    <w:p>
      <w:pPr>
        <w:pStyle w:val="Normal"/>
        <w:rPr/>
      </w:pPr>
      <w:r>
        <w:rPr/>
      </w:r>
    </w:p>
    <w:p>
      <w:pPr>
        <w:pStyle w:val="Normal"/>
        <w:rPr/>
      </w:pPr>
      <w:r>
        <w:rPr/>
      </w:r>
    </w:p>
    <w:p>
      <w:pPr>
        <w:pStyle w:val="Normal"/>
        <w:rPr/>
      </w:pPr>
      <w:r>
        <w:rPr/>
        <w:t xml:space="preserve"> </w:t>
      </w:r>
    </w:p>
    <w:p>
      <w:pPr>
        <w:pStyle w:val="Normal"/>
        <w:widowControl/>
        <w:bidi w:val="0"/>
        <w:spacing w:lineRule="auto" w:line="259" w:before="0" w:after="160"/>
        <w:jc w:val="left"/>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Liberation Sans">
    <w:altName w:val="Arial"/>
    <w:charset w:val="00"/>
    <w:family w:val="swiss"/>
    <w:pitch w:val="variable"/>
  </w:font>
  <w:font w:name="Cambria">
    <w:charset w:val="00"/>
    <w:family w:val="roman"/>
    <w:pitch w:val="variable"/>
  </w:font>
  <w:font w:name="onlyofficeDefaultFont">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3">
    <w:name w:val="Heading 3"/>
    <w:basedOn w:val="Normal"/>
    <w:link w:val="Titre3Car"/>
    <w:uiPriority w:val="9"/>
    <w:qFormat/>
    <w:rsid w:val="00936b9d"/>
    <w:pPr>
      <w:spacing w:lineRule="auto" w:line="240" w:before="225" w:after="113"/>
      <w:outlineLvl w:val="2"/>
    </w:pPr>
    <w:rPr>
      <w:rFonts w:ascii="Helvetica" w:hAnsi="Helvetica" w:eastAsia="Times New Roman" w:cs="Times New Roman"/>
      <w:sz w:val="29"/>
      <w:szCs w:val="29"/>
      <w:lang w:eastAsia="fr-FR"/>
    </w:rPr>
  </w:style>
  <w:style w:type="character" w:styleId="DefaultParagraphFont" w:default="1">
    <w:name w:val="Default Paragraph Font"/>
    <w:uiPriority w:val="1"/>
    <w:semiHidden/>
    <w:unhideWhenUsed/>
    <w:qFormat/>
    <w:rPr/>
  </w:style>
  <w:style w:type="character" w:styleId="Titre3Car" w:customStyle="1">
    <w:name w:val="Titre 3 Car"/>
    <w:basedOn w:val="DefaultParagraphFont"/>
    <w:link w:val="Titre3"/>
    <w:uiPriority w:val="9"/>
    <w:qFormat/>
    <w:rsid w:val="00936b9d"/>
    <w:rPr>
      <w:rFonts w:ascii="Helvetica" w:hAnsi="Helvetica" w:eastAsia="Times New Roman" w:cs="Times New Roman"/>
      <w:sz w:val="29"/>
      <w:szCs w:val="29"/>
      <w:lang w:eastAsia="fr-F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c43ef0"/>
    <w:pPr>
      <w:spacing w:before="0" w:after="160"/>
      <w:ind w:left="720" w:hanging="0"/>
      <w:contextualSpacing/>
    </w:pPr>
    <w:rPr/>
  </w:style>
  <w:style w:type="paragraph" w:styleId="NormalWeb">
    <w:name w:val="Normal (Web)"/>
    <w:basedOn w:val="Normal"/>
    <w:uiPriority w:val="99"/>
    <w:semiHidden/>
    <w:unhideWhenUsed/>
    <w:qFormat/>
    <w:rsid w:val="00936b9d"/>
    <w:pPr>
      <w:spacing w:lineRule="auto" w:line="240" w:before="0" w:after="113"/>
    </w:pPr>
    <w:rPr>
      <w:rFonts w:ascii="Times New Roman" w:hAnsi="Times New Roman" w:eastAsia="Times New Roman" w:cs="Times New Roman"/>
      <w:sz w:val="24"/>
      <w:szCs w:val="24"/>
      <w:lang w:eastAsia="fr-FR"/>
    </w:rPr>
  </w:style>
  <w:style w:type="paragraph" w:styleId="Docdata" w:customStyle="1">
    <w:name w:val="docdata"/>
    <w:basedOn w:val="Normal"/>
    <w:qFormat/>
    <w:rsid w:val="00936b9d"/>
    <w:pPr>
      <w:spacing w:lineRule="auto" w:line="240" w:before="0" w:after="113"/>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c143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LibreOffice/6.3.3.2$Windows_X86_64 LibreOffice_project/a64200df03143b798afd1ec74a12ab50359878ed</Application>
  <Pages>3</Pages>
  <Words>438</Words>
  <Characters>2410</Characters>
  <CharactersWithSpaces>2843</CharactersWithSpaces>
  <Paragraphs>5</Paragraphs>
  <Company>Lycée Jules HAAG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2020-10-14T13:32:00Z</dcterms:created>
  <dc:creator>Win10 PROFIL</dc:creator>
  <dc:description/>
  <dc:language>fr-FR</dc:language>
  <cp:lastModifiedBy/>
  <dcterms:modified xsi:type="dcterms:W3CDTF">2020-10-25T08:48:44Z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Lycée Jules HAAG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