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2" w:type="dxa"/>
        <w:tblCellMar>
          <w:top w:w="15" w:type="dxa"/>
          <w:left w:w="15" w:type="dxa"/>
          <w:bottom w:w="15" w:type="dxa"/>
          <w:right w:w="15" w:type="dxa"/>
        </w:tblCellMar>
        <w:tblLook w:val="04A0"/>
      </w:tblPr>
      <w:tblGrid>
        <w:gridCol w:w="3437"/>
        <w:gridCol w:w="5705"/>
      </w:tblGrid>
      <w:tr w:rsidR="006B777B" w:rsidRPr="00636798" w:rsidTr="006B777B">
        <w:trPr>
          <w:trHeight w:val="315"/>
        </w:trPr>
        <w:tc>
          <w:tcPr>
            <w:tcW w:w="3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6B777B">
            <w:pPr>
              <w:spacing w:after="0" w:line="240" w:lineRule="auto"/>
              <w:rPr>
                <w:rFonts w:ascii="Times New Roman" w:eastAsia="Times New Roman" w:hAnsi="Times New Roman" w:cs="Times New Roman"/>
                <w:sz w:val="24"/>
                <w:szCs w:val="24"/>
                <w:lang w:eastAsia="fr-FR"/>
              </w:rPr>
            </w:pPr>
            <w:r w:rsidRPr="006B777B">
              <w:rPr>
                <w:rFonts w:ascii="Times New Roman" w:eastAsia="Times New Roman" w:hAnsi="Times New Roman" w:cs="Times New Roman"/>
                <w:b/>
                <w:bCs/>
                <w:color w:val="000000"/>
                <w:lang w:eastAsia="fr-FR"/>
              </w:rPr>
              <w:t>Niveau </w:t>
            </w:r>
          </w:p>
        </w:tc>
        <w:tc>
          <w:tcPr>
            <w:tcW w:w="5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406FF1">
            <w:pPr>
              <w:spacing w:after="0" w:line="240" w:lineRule="auto"/>
              <w:rPr>
                <w:rFonts w:ascii="Times New Roman" w:eastAsia="Times New Roman" w:hAnsi="Times New Roman" w:cs="Times New Roman"/>
                <w:sz w:val="24"/>
                <w:szCs w:val="24"/>
                <w:lang w:eastAsia="fr-FR"/>
              </w:rPr>
            </w:pPr>
            <w:r w:rsidRPr="006B777B">
              <w:rPr>
                <w:rFonts w:ascii="Times New Roman" w:eastAsia="Times New Roman" w:hAnsi="Times New Roman" w:cs="Times New Roman"/>
                <w:sz w:val="24"/>
                <w:szCs w:val="24"/>
                <w:lang w:eastAsia="fr-FR"/>
              </w:rPr>
              <w:t>Terminale</w:t>
            </w:r>
          </w:p>
        </w:tc>
      </w:tr>
      <w:tr w:rsidR="006B777B" w:rsidRPr="00636798" w:rsidTr="006B777B">
        <w:trPr>
          <w:trHeight w:val="620"/>
        </w:trPr>
        <w:tc>
          <w:tcPr>
            <w:tcW w:w="3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406FF1">
            <w:pPr>
              <w:spacing w:before="240" w:after="240" w:line="240" w:lineRule="auto"/>
              <w:rPr>
                <w:rFonts w:ascii="Times New Roman" w:eastAsia="Times New Roman" w:hAnsi="Times New Roman" w:cs="Times New Roman"/>
                <w:sz w:val="24"/>
                <w:szCs w:val="24"/>
                <w:lang w:eastAsia="fr-FR"/>
              </w:rPr>
            </w:pPr>
            <w:r w:rsidRPr="006B777B">
              <w:rPr>
                <w:rFonts w:ascii="Times New Roman" w:eastAsia="Times New Roman" w:hAnsi="Times New Roman" w:cs="Times New Roman"/>
                <w:b/>
                <w:bCs/>
                <w:color w:val="000000"/>
                <w:lang w:eastAsia="fr-FR"/>
              </w:rPr>
              <w:t>Partie du programme concernée</w:t>
            </w:r>
          </w:p>
        </w:tc>
        <w:tc>
          <w:tcPr>
            <w:tcW w:w="5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406FF1">
            <w:pPr>
              <w:spacing w:after="0" w:line="240" w:lineRule="auto"/>
              <w:rPr>
                <w:rFonts w:ascii="Times New Roman" w:eastAsia="Times New Roman" w:hAnsi="Times New Roman" w:cs="Times New Roman"/>
                <w:sz w:val="24"/>
                <w:szCs w:val="24"/>
                <w:lang w:eastAsia="fr-FR"/>
              </w:rPr>
            </w:pPr>
            <w:r w:rsidRPr="006B777B">
              <w:rPr>
                <w:rFonts w:ascii="Times New Roman" w:eastAsia="Times New Roman" w:hAnsi="Times New Roman" w:cs="Times New Roman"/>
                <w:sz w:val="24"/>
                <w:szCs w:val="24"/>
                <w:lang w:eastAsia="fr-FR"/>
              </w:rPr>
              <w:t>Quelles inégalités sont compatibles avec les différentes conceptions de la justice sociale ?</w:t>
            </w:r>
          </w:p>
        </w:tc>
      </w:tr>
      <w:tr w:rsidR="006B777B" w:rsidRPr="00636798" w:rsidTr="006B777B">
        <w:trPr>
          <w:trHeight w:val="1937"/>
        </w:trPr>
        <w:tc>
          <w:tcPr>
            <w:tcW w:w="3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406FF1">
            <w:pPr>
              <w:spacing w:before="240" w:after="240" w:line="240" w:lineRule="auto"/>
              <w:rPr>
                <w:rFonts w:ascii="Times New Roman" w:eastAsia="Times New Roman" w:hAnsi="Times New Roman" w:cs="Times New Roman"/>
                <w:sz w:val="24"/>
                <w:szCs w:val="24"/>
                <w:lang w:eastAsia="fr-FR"/>
              </w:rPr>
            </w:pPr>
            <w:r w:rsidRPr="006B777B">
              <w:rPr>
                <w:rFonts w:ascii="Times New Roman" w:eastAsia="Times New Roman" w:hAnsi="Times New Roman" w:cs="Times New Roman"/>
                <w:b/>
                <w:bCs/>
                <w:color w:val="000000"/>
                <w:lang w:eastAsia="fr-FR"/>
              </w:rPr>
              <w:t>Objectifs d’apprentissage</w:t>
            </w:r>
          </w:p>
        </w:tc>
        <w:tc>
          <w:tcPr>
            <w:tcW w:w="5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406FF1">
            <w:pPr>
              <w:spacing w:after="0" w:line="240" w:lineRule="auto"/>
              <w:rPr>
                <w:rFonts w:ascii="Times New Roman" w:eastAsia="Times New Roman" w:hAnsi="Times New Roman" w:cs="Times New Roman"/>
                <w:lang w:eastAsia="fr-FR"/>
              </w:rPr>
            </w:pPr>
            <w:r w:rsidRPr="006B777B">
              <w:rPr>
                <w:rFonts w:ascii="Times New Roman" w:hAnsi="Times New Roman" w:cs="Times New Roman"/>
              </w:rPr>
              <w:t>Comprendre que l’action des pouvoirs publics en matière de justice sociale (fiscalité, protection sociale, services collectifs, mesures de lutte contre les discriminations) s’exerce sous contrainte de financement et fait l’objet de débats en termes d’efficacité (réduction des inégalités), de légitimité (notamment consentement à l’impôt) et de risque d’effets pervers (</w:t>
            </w:r>
            <w:proofErr w:type="spellStart"/>
            <w:r w:rsidRPr="006B777B">
              <w:rPr>
                <w:rFonts w:ascii="Times New Roman" w:hAnsi="Times New Roman" w:cs="Times New Roman"/>
              </w:rPr>
              <w:t>désincitations</w:t>
            </w:r>
            <w:proofErr w:type="spellEnd"/>
            <w:r w:rsidRPr="006B777B">
              <w:rPr>
                <w:rFonts w:ascii="Times New Roman" w:hAnsi="Times New Roman" w:cs="Times New Roman"/>
              </w:rPr>
              <w:t>).</w:t>
            </w:r>
          </w:p>
        </w:tc>
      </w:tr>
      <w:tr w:rsidR="006B777B" w:rsidRPr="00636798" w:rsidTr="006B777B">
        <w:trPr>
          <w:trHeight w:val="351"/>
        </w:trPr>
        <w:tc>
          <w:tcPr>
            <w:tcW w:w="3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6B777B">
            <w:pPr>
              <w:spacing w:after="0" w:line="240" w:lineRule="auto"/>
              <w:rPr>
                <w:rFonts w:ascii="Times New Roman" w:eastAsia="Times New Roman" w:hAnsi="Times New Roman" w:cs="Times New Roman"/>
                <w:sz w:val="24"/>
                <w:szCs w:val="24"/>
                <w:lang w:eastAsia="fr-FR"/>
              </w:rPr>
            </w:pPr>
            <w:r w:rsidRPr="006B777B">
              <w:rPr>
                <w:rFonts w:ascii="Times New Roman" w:eastAsia="Times New Roman" w:hAnsi="Times New Roman" w:cs="Times New Roman"/>
                <w:b/>
                <w:bCs/>
                <w:color w:val="000000"/>
                <w:lang w:eastAsia="fr-FR"/>
              </w:rPr>
              <w:t>Type d’activité:</w:t>
            </w:r>
          </w:p>
        </w:tc>
        <w:tc>
          <w:tcPr>
            <w:tcW w:w="5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6B777B">
            <w:pPr>
              <w:spacing w:after="0" w:line="240" w:lineRule="auto"/>
              <w:rPr>
                <w:rFonts w:ascii="Times New Roman" w:eastAsia="Times New Roman" w:hAnsi="Times New Roman" w:cs="Times New Roman"/>
                <w:sz w:val="24"/>
                <w:szCs w:val="24"/>
                <w:lang w:eastAsia="fr-FR"/>
              </w:rPr>
            </w:pPr>
            <w:r w:rsidRPr="006B777B">
              <w:rPr>
                <w:rFonts w:ascii="Times New Roman" w:eastAsia="Times New Roman" w:hAnsi="Times New Roman" w:cs="Times New Roman"/>
                <w:sz w:val="24"/>
                <w:szCs w:val="24"/>
                <w:lang w:eastAsia="fr-FR"/>
              </w:rPr>
              <w:t>EC</w:t>
            </w:r>
            <w:r>
              <w:rPr>
                <w:rFonts w:ascii="Times New Roman" w:eastAsia="Times New Roman" w:hAnsi="Times New Roman" w:cs="Times New Roman"/>
                <w:sz w:val="24"/>
                <w:szCs w:val="24"/>
                <w:lang w:eastAsia="fr-FR"/>
              </w:rPr>
              <w:t>2</w:t>
            </w:r>
          </w:p>
        </w:tc>
      </w:tr>
      <w:tr w:rsidR="006B777B" w:rsidRPr="00636798" w:rsidTr="006B777B">
        <w:trPr>
          <w:trHeight w:val="348"/>
        </w:trPr>
        <w:tc>
          <w:tcPr>
            <w:tcW w:w="3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6B777B">
            <w:pPr>
              <w:spacing w:after="0" w:line="240" w:lineRule="auto"/>
              <w:rPr>
                <w:rFonts w:ascii="Times New Roman" w:eastAsia="Times New Roman" w:hAnsi="Times New Roman" w:cs="Times New Roman"/>
                <w:sz w:val="24"/>
                <w:szCs w:val="24"/>
                <w:lang w:eastAsia="fr-FR"/>
              </w:rPr>
            </w:pPr>
            <w:r w:rsidRPr="006B777B">
              <w:rPr>
                <w:rFonts w:ascii="Times New Roman" w:eastAsia="Times New Roman" w:hAnsi="Times New Roman" w:cs="Times New Roman"/>
                <w:b/>
                <w:bCs/>
                <w:color w:val="000000"/>
                <w:lang w:eastAsia="fr-FR"/>
              </w:rPr>
              <w:t>Durée de l’activité</w:t>
            </w:r>
          </w:p>
        </w:tc>
        <w:tc>
          <w:tcPr>
            <w:tcW w:w="5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77B" w:rsidRPr="006B777B" w:rsidRDefault="006B777B" w:rsidP="00406FF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 heure</w:t>
            </w:r>
          </w:p>
        </w:tc>
      </w:tr>
    </w:tbl>
    <w:p w:rsidR="0012585F" w:rsidRDefault="0012585F"/>
    <w:p w:rsidR="006B777B" w:rsidRDefault="006B777B"/>
    <w:p w:rsidR="006B777B" w:rsidRDefault="006B777B"/>
    <w:p w:rsidR="006B777B" w:rsidRPr="006B777B" w:rsidRDefault="006B777B">
      <w:pPr>
        <w:rPr>
          <w:b/>
        </w:rPr>
      </w:pPr>
      <w:r w:rsidRPr="006B777B">
        <w:rPr>
          <w:b/>
        </w:rPr>
        <w:t>Partie 2 : Etude d’un document (6 points)</w:t>
      </w:r>
    </w:p>
    <w:p w:rsidR="00FB00E1" w:rsidRPr="00822D77" w:rsidRDefault="004E7905">
      <w:pPr>
        <w:rPr>
          <w:rFonts w:ascii="Times New Roman" w:hAnsi="Times New Roman" w:cs="Times New Roman"/>
          <w:b/>
        </w:rPr>
      </w:pPr>
      <w:r w:rsidRPr="00822D77">
        <w:rPr>
          <w:rFonts w:ascii="Times New Roman" w:hAnsi="Times New Roman" w:cs="Times New Roman"/>
          <w:b/>
        </w:rPr>
        <w:t>Part des étudiants selon l’origine sociale dans deux formations du supérieur (en %) et dépense publique moyenne (en euros)</w:t>
      </w:r>
      <w:r w:rsidR="00822D77" w:rsidRPr="00822D77">
        <w:rPr>
          <w:rFonts w:ascii="Times New Roman" w:hAnsi="Times New Roman" w:cs="Times New Roman"/>
          <w:b/>
        </w:rPr>
        <w:t xml:space="preserve"> pour l’année 2019-2020</w:t>
      </w:r>
    </w:p>
    <w:tbl>
      <w:tblPr>
        <w:tblStyle w:val="Grilledutableau"/>
        <w:tblW w:w="0" w:type="auto"/>
        <w:tblLook w:val="04A0"/>
      </w:tblPr>
      <w:tblGrid>
        <w:gridCol w:w="3794"/>
        <w:gridCol w:w="1417"/>
        <w:gridCol w:w="1276"/>
        <w:gridCol w:w="1843"/>
      </w:tblGrid>
      <w:tr w:rsidR="00610597" w:rsidTr="00610597">
        <w:tc>
          <w:tcPr>
            <w:tcW w:w="3794" w:type="dxa"/>
          </w:tcPr>
          <w:p w:rsidR="00610597" w:rsidRDefault="00610597"/>
        </w:tc>
        <w:tc>
          <w:tcPr>
            <w:tcW w:w="2693" w:type="dxa"/>
            <w:gridSpan w:val="2"/>
          </w:tcPr>
          <w:p w:rsidR="00610597" w:rsidRPr="00610597" w:rsidRDefault="00610597" w:rsidP="00610597">
            <w:pPr>
              <w:jc w:val="center"/>
              <w:rPr>
                <w:rFonts w:ascii="Times New Roman" w:hAnsi="Times New Roman" w:cs="Times New Roman"/>
                <w:b/>
              </w:rPr>
            </w:pPr>
            <w:r w:rsidRPr="00610597">
              <w:rPr>
                <w:rFonts w:ascii="Times New Roman" w:hAnsi="Times New Roman" w:cs="Times New Roman"/>
                <w:b/>
              </w:rPr>
              <w:t>Université</w:t>
            </w:r>
          </w:p>
        </w:tc>
        <w:tc>
          <w:tcPr>
            <w:tcW w:w="1843" w:type="dxa"/>
            <w:vMerge w:val="restart"/>
          </w:tcPr>
          <w:p w:rsidR="00610597" w:rsidRDefault="00610597">
            <w:pPr>
              <w:rPr>
                <w:rFonts w:ascii="Times New Roman" w:hAnsi="Times New Roman" w:cs="Times New Roman"/>
              </w:rPr>
            </w:pPr>
            <w:r w:rsidRPr="00610597">
              <w:rPr>
                <w:rFonts w:ascii="Times New Roman" w:hAnsi="Times New Roman" w:cs="Times New Roman"/>
                <w:b/>
              </w:rPr>
              <w:t>CPGE</w:t>
            </w:r>
            <w:r>
              <w:rPr>
                <w:rFonts w:ascii="Times New Roman" w:hAnsi="Times New Roman" w:cs="Times New Roman"/>
              </w:rPr>
              <w:t xml:space="preserve"> : classes préparatoires aux </w:t>
            </w:r>
          </w:p>
          <w:p w:rsidR="00610597" w:rsidRPr="00610597" w:rsidRDefault="00610597">
            <w:pPr>
              <w:rPr>
                <w:rFonts w:ascii="Times New Roman" w:hAnsi="Times New Roman" w:cs="Times New Roman"/>
              </w:rPr>
            </w:pPr>
            <w:r>
              <w:rPr>
                <w:rFonts w:ascii="Times New Roman" w:hAnsi="Times New Roman" w:cs="Times New Roman"/>
              </w:rPr>
              <w:t>grandes écoles</w:t>
            </w:r>
          </w:p>
        </w:tc>
      </w:tr>
      <w:tr w:rsidR="00610597" w:rsidTr="00610597">
        <w:tc>
          <w:tcPr>
            <w:tcW w:w="3794" w:type="dxa"/>
          </w:tcPr>
          <w:p w:rsidR="00610597" w:rsidRDefault="00610597"/>
        </w:tc>
        <w:tc>
          <w:tcPr>
            <w:tcW w:w="1417" w:type="dxa"/>
          </w:tcPr>
          <w:p w:rsidR="00610597" w:rsidRPr="00610597" w:rsidRDefault="00610597" w:rsidP="004E7905">
            <w:pPr>
              <w:jc w:val="center"/>
              <w:rPr>
                <w:rFonts w:ascii="Times New Roman" w:hAnsi="Times New Roman" w:cs="Times New Roman"/>
              </w:rPr>
            </w:pPr>
            <w:r w:rsidRPr="00610597">
              <w:rPr>
                <w:rFonts w:ascii="Times New Roman" w:hAnsi="Times New Roman" w:cs="Times New Roman"/>
              </w:rPr>
              <w:t>Licence</w:t>
            </w:r>
          </w:p>
        </w:tc>
        <w:tc>
          <w:tcPr>
            <w:tcW w:w="1276" w:type="dxa"/>
          </w:tcPr>
          <w:p w:rsidR="00610597" w:rsidRPr="00610597" w:rsidRDefault="00610597" w:rsidP="004E7905">
            <w:pPr>
              <w:jc w:val="center"/>
              <w:rPr>
                <w:rFonts w:ascii="Times New Roman" w:hAnsi="Times New Roman" w:cs="Times New Roman"/>
              </w:rPr>
            </w:pPr>
            <w:r w:rsidRPr="00610597">
              <w:rPr>
                <w:rFonts w:ascii="Times New Roman" w:hAnsi="Times New Roman" w:cs="Times New Roman"/>
              </w:rPr>
              <w:t>Master</w:t>
            </w:r>
          </w:p>
        </w:tc>
        <w:tc>
          <w:tcPr>
            <w:tcW w:w="1843" w:type="dxa"/>
            <w:vMerge/>
          </w:tcPr>
          <w:p w:rsidR="00610597" w:rsidRPr="00610597" w:rsidRDefault="00610597">
            <w:pPr>
              <w:rPr>
                <w:rFonts w:ascii="Times New Roman" w:hAnsi="Times New Roman" w:cs="Times New Roman"/>
              </w:rPr>
            </w:pPr>
          </w:p>
        </w:tc>
      </w:tr>
      <w:tr w:rsidR="004E7905" w:rsidTr="00610597">
        <w:tc>
          <w:tcPr>
            <w:tcW w:w="3794" w:type="dxa"/>
          </w:tcPr>
          <w:p w:rsidR="004E7905" w:rsidRPr="00610597" w:rsidRDefault="004E7905">
            <w:pPr>
              <w:rPr>
                <w:rFonts w:ascii="Times New Roman" w:hAnsi="Times New Roman" w:cs="Times New Roman"/>
                <w:sz w:val="20"/>
                <w:szCs w:val="20"/>
              </w:rPr>
            </w:pPr>
            <w:r>
              <w:rPr>
                <w:rFonts w:ascii="Times New Roman" w:hAnsi="Times New Roman" w:cs="Times New Roman"/>
                <w:sz w:val="20"/>
                <w:szCs w:val="20"/>
              </w:rPr>
              <w:t>Agriculteurs</w:t>
            </w:r>
          </w:p>
        </w:tc>
        <w:tc>
          <w:tcPr>
            <w:tcW w:w="1417" w:type="dxa"/>
          </w:tcPr>
          <w:p w:rsidR="004E7905" w:rsidRPr="00B71A4B" w:rsidRDefault="004E7905" w:rsidP="00B71A4B">
            <w:pPr>
              <w:jc w:val="center"/>
              <w:rPr>
                <w:rFonts w:ascii="Times New Roman" w:hAnsi="Times New Roman" w:cs="Times New Roman"/>
              </w:rPr>
            </w:pPr>
            <w:r w:rsidRPr="00B71A4B">
              <w:rPr>
                <w:rFonts w:ascii="Times New Roman" w:hAnsi="Times New Roman" w:cs="Times New Roman"/>
              </w:rPr>
              <w:t>1,4</w:t>
            </w:r>
          </w:p>
        </w:tc>
        <w:tc>
          <w:tcPr>
            <w:tcW w:w="1276" w:type="dxa"/>
          </w:tcPr>
          <w:p w:rsidR="004E7905" w:rsidRPr="00B71A4B" w:rsidRDefault="004E7905" w:rsidP="00B71A4B">
            <w:pPr>
              <w:jc w:val="center"/>
              <w:rPr>
                <w:rFonts w:ascii="Times New Roman" w:hAnsi="Times New Roman" w:cs="Times New Roman"/>
              </w:rPr>
            </w:pPr>
            <w:r w:rsidRPr="00B71A4B">
              <w:rPr>
                <w:rFonts w:ascii="Times New Roman" w:hAnsi="Times New Roman" w:cs="Times New Roman"/>
              </w:rPr>
              <w:t>1,4</w:t>
            </w:r>
          </w:p>
        </w:tc>
        <w:tc>
          <w:tcPr>
            <w:tcW w:w="1843" w:type="dxa"/>
            <w:vMerge w:val="restart"/>
          </w:tcPr>
          <w:p w:rsidR="004E7905" w:rsidRPr="004E7905" w:rsidRDefault="0081206D" w:rsidP="004E7905">
            <w:pPr>
              <w:jc w:val="center"/>
              <w:rPr>
                <w:rFonts w:ascii="Times New Roman" w:hAnsi="Times New Roman" w:cs="Times New Roman"/>
              </w:rPr>
            </w:pPr>
            <w:r>
              <w:rPr>
                <w:rFonts w:ascii="Times New Roman" w:hAnsi="Times New Roman" w:cs="Times New Roman"/>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8pt;margin-top:3.5pt;width:7.15pt;height:21pt;z-index:251658240;mso-position-horizontal-relative:text;mso-position-vertical-relative:text"/>
              </w:pict>
            </w:r>
            <w:r w:rsidR="004E7905" w:rsidRPr="004E7905">
              <w:rPr>
                <w:rFonts w:ascii="Times New Roman" w:hAnsi="Times New Roman" w:cs="Times New Roman"/>
              </w:rPr>
              <w:t>10,8</w:t>
            </w:r>
          </w:p>
          <w:p w:rsidR="004E7905" w:rsidRPr="004E7905" w:rsidRDefault="004E7905" w:rsidP="004E7905">
            <w:pPr>
              <w:jc w:val="center"/>
              <w:rPr>
                <w:rFonts w:ascii="Times New Roman" w:hAnsi="Times New Roman" w:cs="Times New Roman"/>
              </w:rPr>
            </w:pPr>
          </w:p>
        </w:tc>
      </w:tr>
      <w:tr w:rsidR="004E7905" w:rsidTr="005B00F5">
        <w:tc>
          <w:tcPr>
            <w:tcW w:w="3794" w:type="dxa"/>
          </w:tcPr>
          <w:p w:rsidR="004E7905" w:rsidRPr="00610597" w:rsidRDefault="004E7905">
            <w:pPr>
              <w:rPr>
                <w:rFonts w:ascii="Times New Roman" w:hAnsi="Times New Roman" w:cs="Times New Roman"/>
                <w:sz w:val="20"/>
                <w:szCs w:val="20"/>
              </w:rPr>
            </w:pPr>
            <w:r w:rsidRPr="00610597">
              <w:rPr>
                <w:rFonts w:ascii="Times New Roman" w:hAnsi="Times New Roman" w:cs="Times New Roman"/>
                <w:sz w:val="20"/>
                <w:szCs w:val="20"/>
              </w:rPr>
              <w:t>Artisans, commerçants</w:t>
            </w:r>
            <w:r>
              <w:rPr>
                <w:rFonts w:ascii="Times New Roman" w:hAnsi="Times New Roman" w:cs="Times New Roman"/>
                <w:sz w:val="20"/>
                <w:szCs w:val="20"/>
              </w:rPr>
              <w:t>, chefs d’entreprise</w:t>
            </w:r>
          </w:p>
        </w:tc>
        <w:tc>
          <w:tcPr>
            <w:tcW w:w="1417" w:type="dxa"/>
            <w:tcBorders>
              <w:bottom w:val="single" w:sz="18" w:space="0" w:color="auto"/>
            </w:tcBorders>
          </w:tcPr>
          <w:p w:rsidR="004E7905" w:rsidRPr="00B71A4B" w:rsidRDefault="004E7905" w:rsidP="00B71A4B">
            <w:pPr>
              <w:jc w:val="center"/>
              <w:rPr>
                <w:rFonts w:ascii="Times New Roman" w:hAnsi="Times New Roman" w:cs="Times New Roman"/>
              </w:rPr>
            </w:pPr>
            <w:r w:rsidRPr="00B71A4B">
              <w:rPr>
                <w:rFonts w:ascii="Times New Roman" w:hAnsi="Times New Roman" w:cs="Times New Roman"/>
              </w:rPr>
              <w:t>7,9</w:t>
            </w:r>
          </w:p>
        </w:tc>
        <w:tc>
          <w:tcPr>
            <w:tcW w:w="1276" w:type="dxa"/>
            <w:tcBorders>
              <w:bottom w:val="single" w:sz="18" w:space="0" w:color="auto"/>
            </w:tcBorders>
          </w:tcPr>
          <w:p w:rsidR="004E7905" w:rsidRPr="00B71A4B" w:rsidRDefault="004E7905" w:rsidP="00B71A4B">
            <w:pPr>
              <w:jc w:val="center"/>
              <w:rPr>
                <w:rFonts w:ascii="Times New Roman" w:hAnsi="Times New Roman" w:cs="Times New Roman"/>
              </w:rPr>
            </w:pPr>
            <w:r w:rsidRPr="00B71A4B">
              <w:rPr>
                <w:rFonts w:ascii="Times New Roman" w:hAnsi="Times New Roman" w:cs="Times New Roman"/>
              </w:rPr>
              <w:t>7,4</w:t>
            </w:r>
          </w:p>
        </w:tc>
        <w:tc>
          <w:tcPr>
            <w:tcW w:w="1843" w:type="dxa"/>
            <w:vMerge/>
          </w:tcPr>
          <w:p w:rsidR="004E7905" w:rsidRPr="004E7905" w:rsidRDefault="004E7905" w:rsidP="004E7905">
            <w:pPr>
              <w:jc w:val="center"/>
              <w:rPr>
                <w:rFonts w:ascii="Times New Roman" w:hAnsi="Times New Roman" w:cs="Times New Roman"/>
              </w:rPr>
            </w:pPr>
          </w:p>
        </w:tc>
      </w:tr>
      <w:tr w:rsidR="00610597" w:rsidTr="005B00F5">
        <w:tc>
          <w:tcPr>
            <w:tcW w:w="3794" w:type="dxa"/>
            <w:tcBorders>
              <w:right w:val="single" w:sz="18" w:space="0" w:color="auto"/>
            </w:tcBorders>
          </w:tcPr>
          <w:p w:rsidR="00610597" w:rsidRPr="00610597" w:rsidRDefault="00610597">
            <w:pPr>
              <w:rPr>
                <w:rFonts w:ascii="Times New Roman" w:hAnsi="Times New Roman" w:cs="Times New Roman"/>
              </w:rPr>
            </w:pPr>
            <w:r w:rsidRPr="00610597">
              <w:rPr>
                <w:rFonts w:ascii="Times New Roman" w:hAnsi="Times New Roman" w:cs="Times New Roman"/>
              </w:rPr>
              <w:t>Cadres et professions intellectuelles</w:t>
            </w:r>
          </w:p>
        </w:tc>
        <w:tc>
          <w:tcPr>
            <w:tcW w:w="1417" w:type="dxa"/>
            <w:tcBorders>
              <w:top w:val="single" w:sz="18" w:space="0" w:color="auto"/>
              <w:left w:val="single" w:sz="18" w:space="0" w:color="auto"/>
              <w:bottom w:val="single" w:sz="18" w:space="0" w:color="auto"/>
              <w:right w:val="single" w:sz="18"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29,3</w:t>
            </w:r>
          </w:p>
        </w:tc>
        <w:tc>
          <w:tcPr>
            <w:tcW w:w="1276" w:type="dxa"/>
            <w:tcBorders>
              <w:top w:val="single" w:sz="18" w:space="0" w:color="auto"/>
              <w:left w:val="single" w:sz="18" w:space="0" w:color="auto"/>
              <w:bottom w:val="single" w:sz="18" w:space="0" w:color="auto"/>
              <w:right w:val="single" w:sz="18"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40,2</w:t>
            </w:r>
          </w:p>
        </w:tc>
        <w:tc>
          <w:tcPr>
            <w:tcW w:w="1843" w:type="dxa"/>
            <w:tcBorders>
              <w:left w:val="single" w:sz="18" w:space="0" w:color="auto"/>
            </w:tcBorders>
          </w:tcPr>
          <w:p w:rsidR="00610597" w:rsidRPr="004E7905" w:rsidRDefault="004E7905" w:rsidP="004E7905">
            <w:pPr>
              <w:jc w:val="center"/>
              <w:rPr>
                <w:rFonts w:ascii="Times New Roman" w:hAnsi="Times New Roman" w:cs="Times New Roman"/>
              </w:rPr>
            </w:pPr>
            <w:r w:rsidRPr="004E7905">
              <w:rPr>
                <w:rFonts w:ascii="Times New Roman" w:hAnsi="Times New Roman" w:cs="Times New Roman"/>
              </w:rPr>
              <w:t>51,9</w:t>
            </w:r>
          </w:p>
        </w:tc>
      </w:tr>
      <w:tr w:rsidR="00610597" w:rsidTr="005B00F5">
        <w:tc>
          <w:tcPr>
            <w:tcW w:w="3794" w:type="dxa"/>
          </w:tcPr>
          <w:p w:rsidR="00610597" w:rsidRPr="00610597" w:rsidRDefault="00610597">
            <w:pPr>
              <w:rPr>
                <w:rFonts w:ascii="Times New Roman" w:hAnsi="Times New Roman" w:cs="Times New Roman"/>
              </w:rPr>
            </w:pPr>
            <w:r>
              <w:rPr>
                <w:rFonts w:ascii="Times New Roman" w:hAnsi="Times New Roman" w:cs="Times New Roman"/>
              </w:rPr>
              <w:t>Professions intermédiaires</w:t>
            </w:r>
          </w:p>
        </w:tc>
        <w:tc>
          <w:tcPr>
            <w:tcW w:w="1417" w:type="dxa"/>
            <w:tcBorders>
              <w:top w:val="single" w:sz="18"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16,0</w:t>
            </w:r>
          </w:p>
        </w:tc>
        <w:tc>
          <w:tcPr>
            <w:tcW w:w="1276" w:type="dxa"/>
            <w:tcBorders>
              <w:top w:val="single" w:sz="18"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13,5</w:t>
            </w:r>
          </w:p>
        </w:tc>
        <w:tc>
          <w:tcPr>
            <w:tcW w:w="1843" w:type="dxa"/>
          </w:tcPr>
          <w:p w:rsidR="00610597" w:rsidRPr="004E7905" w:rsidRDefault="004E7905" w:rsidP="004E7905">
            <w:pPr>
              <w:jc w:val="center"/>
              <w:rPr>
                <w:rFonts w:ascii="Times New Roman" w:hAnsi="Times New Roman" w:cs="Times New Roman"/>
              </w:rPr>
            </w:pPr>
            <w:r w:rsidRPr="004E7905">
              <w:rPr>
                <w:rFonts w:ascii="Times New Roman" w:hAnsi="Times New Roman" w:cs="Times New Roman"/>
              </w:rPr>
              <w:t>12,6</w:t>
            </w:r>
          </w:p>
        </w:tc>
      </w:tr>
      <w:tr w:rsidR="00610597" w:rsidTr="00822D77">
        <w:tc>
          <w:tcPr>
            <w:tcW w:w="3794" w:type="dxa"/>
          </w:tcPr>
          <w:p w:rsidR="00610597" w:rsidRPr="00610597" w:rsidRDefault="00610597">
            <w:pPr>
              <w:rPr>
                <w:rFonts w:ascii="Times New Roman" w:hAnsi="Times New Roman" w:cs="Times New Roman"/>
              </w:rPr>
            </w:pPr>
            <w:r>
              <w:rPr>
                <w:rFonts w:ascii="Times New Roman" w:hAnsi="Times New Roman" w:cs="Times New Roman"/>
              </w:rPr>
              <w:t>Employés</w:t>
            </w:r>
          </w:p>
        </w:tc>
        <w:tc>
          <w:tcPr>
            <w:tcW w:w="1417" w:type="dxa"/>
            <w:tcBorders>
              <w:bottom w:val="single" w:sz="4"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19,8</w:t>
            </w:r>
          </w:p>
        </w:tc>
        <w:tc>
          <w:tcPr>
            <w:tcW w:w="1276" w:type="dxa"/>
            <w:tcBorders>
              <w:bottom w:val="single" w:sz="4"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12,8</w:t>
            </w:r>
          </w:p>
        </w:tc>
        <w:tc>
          <w:tcPr>
            <w:tcW w:w="1843" w:type="dxa"/>
          </w:tcPr>
          <w:p w:rsidR="00610597" w:rsidRPr="004E7905" w:rsidRDefault="004E7905" w:rsidP="004E7905">
            <w:pPr>
              <w:jc w:val="center"/>
              <w:rPr>
                <w:rFonts w:ascii="Times New Roman" w:hAnsi="Times New Roman" w:cs="Times New Roman"/>
              </w:rPr>
            </w:pPr>
            <w:r w:rsidRPr="004E7905">
              <w:rPr>
                <w:rFonts w:ascii="Times New Roman" w:hAnsi="Times New Roman" w:cs="Times New Roman"/>
              </w:rPr>
              <w:t>11</w:t>
            </w:r>
          </w:p>
        </w:tc>
      </w:tr>
      <w:tr w:rsidR="00610597" w:rsidTr="00822D77">
        <w:tc>
          <w:tcPr>
            <w:tcW w:w="3794" w:type="dxa"/>
            <w:tcBorders>
              <w:right w:val="single" w:sz="4" w:space="0" w:color="auto"/>
            </w:tcBorders>
          </w:tcPr>
          <w:p w:rsidR="00610597" w:rsidRPr="00610597" w:rsidRDefault="00610597">
            <w:pPr>
              <w:rPr>
                <w:rFonts w:ascii="Times New Roman" w:hAnsi="Times New Roman" w:cs="Times New Roman"/>
              </w:rPr>
            </w:pPr>
            <w:r>
              <w:rPr>
                <w:rFonts w:ascii="Times New Roman" w:hAnsi="Times New Roman" w:cs="Times New Roman"/>
              </w:rPr>
              <w:t>Ouvriers</w:t>
            </w:r>
          </w:p>
        </w:tc>
        <w:tc>
          <w:tcPr>
            <w:tcW w:w="1417" w:type="dxa"/>
            <w:tcBorders>
              <w:top w:val="single" w:sz="4" w:space="0" w:color="auto"/>
              <w:left w:val="single" w:sz="4" w:space="0" w:color="auto"/>
              <w:bottom w:val="single" w:sz="4" w:space="0" w:color="auto"/>
              <w:right w:val="single" w:sz="4"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12,3</w:t>
            </w:r>
          </w:p>
        </w:tc>
        <w:tc>
          <w:tcPr>
            <w:tcW w:w="1276" w:type="dxa"/>
            <w:tcBorders>
              <w:top w:val="single" w:sz="4" w:space="0" w:color="auto"/>
              <w:left w:val="single" w:sz="4" w:space="0" w:color="auto"/>
              <w:bottom w:val="single" w:sz="4" w:space="0" w:color="auto"/>
              <w:right w:val="single" w:sz="4"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8,5</w:t>
            </w:r>
          </w:p>
        </w:tc>
        <w:tc>
          <w:tcPr>
            <w:tcW w:w="1843" w:type="dxa"/>
            <w:tcBorders>
              <w:left w:val="single" w:sz="4" w:space="0" w:color="auto"/>
            </w:tcBorders>
          </w:tcPr>
          <w:p w:rsidR="00610597" w:rsidRPr="004E7905" w:rsidRDefault="004E7905" w:rsidP="004E7905">
            <w:pPr>
              <w:jc w:val="center"/>
              <w:rPr>
                <w:rFonts w:ascii="Times New Roman" w:hAnsi="Times New Roman" w:cs="Times New Roman"/>
              </w:rPr>
            </w:pPr>
            <w:r w:rsidRPr="004E7905">
              <w:rPr>
                <w:rFonts w:ascii="Times New Roman" w:hAnsi="Times New Roman" w:cs="Times New Roman"/>
              </w:rPr>
              <w:t>7,1</w:t>
            </w:r>
          </w:p>
        </w:tc>
      </w:tr>
      <w:tr w:rsidR="00610597" w:rsidTr="00822D77">
        <w:tc>
          <w:tcPr>
            <w:tcW w:w="3794" w:type="dxa"/>
          </w:tcPr>
          <w:p w:rsidR="00610597" w:rsidRPr="00610597" w:rsidRDefault="00610597">
            <w:pPr>
              <w:rPr>
                <w:rFonts w:ascii="Times New Roman" w:hAnsi="Times New Roman" w:cs="Times New Roman"/>
              </w:rPr>
            </w:pPr>
            <w:r>
              <w:rPr>
                <w:rFonts w:ascii="Times New Roman" w:hAnsi="Times New Roman" w:cs="Times New Roman"/>
              </w:rPr>
              <w:t>Retraités et inactifs</w:t>
            </w:r>
          </w:p>
        </w:tc>
        <w:tc>
          <w:tcPr>
            <w:tcW w:w="1417" w:type="dxa"/>
            <w:tcBorders>
              <w:top w:val="single" w:sz="4"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13,3</w:t>
            </w:r>
          </w:p>
        </w:tc>
        <w:tc>
          <w:tcPr>
            <w:tcW w:w="1276" w:type="dxa"/>
            <w:tcBorders>
              <w:top w:val="single" w:sz="4" w:space="0" w:color="auto"/>
            </w:tcBorders>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16</w:t>
            </w:r>
          </w:p>
        </w:tc>
        <w:tc>
          <w:tcPr>
            <w:tcW w:w="1843" w:type="dxa"/>
          </w:tcPr>
          <w:p w:rsidR="00610597" w:rsidRPr="004E7905" w:rsidRDefault="004E7905" w:rsidP="004E7905">
            <w:pPr>
              <w:jc w:val="center"/>
              <w:rPr>
                <w:rFonts w:ascii="Times New Roman" w:hAnsi="Times New Roman" w:cs="Times New Roman"/>
              </w:rPr>
            </w:pPr>
            <w:r w:rsidRPr="004E7905">
              <w:rPr>
                <w:rFonts w:ascii="Times New Roman" w:hAnsi="Times New Roman" w:cs="Times New Roman"/>
              </w:rPr>
              <w:t>6,6</w:t>
            </w:r>
          </w:p>
        </w:tc>
      </w:tr>
      <w:tr w:rsidR="00610597" w:rsidTr="00610597">
        <w:tc>
          <w:tcPr>
            <w:tcW w:w="3794" w:type="dxa"/>
          </w:tcPr>
          <w:p w:rsidR="00610597" w:rsidRPr="00610597" w:rsidRDefault="00B71A4B">
            <w:pPr>
              <w:rPr>
                <w:rFonts w:ascii="Times New Roman" w:hAnsi="Times New Roman" w:cs="Times New Roman"/>
              </w:rPr>
            </w:pPr>
            <w:r>
              <w:rPr>
                <w:rFonts w:ascii="Times New Roman" w:hAnsi="Times New Roman" w:cs="Times New Roman"/>
              </w:rPr>
              <w:t xml:space="preserve">Ensemble </w:t>
            </w:r>
          </w:p>
        </w:tc>
        <w:tc>
          <w:tcPr>
            <w:tcW w:w="1417" w:type="dxa"/>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100</w:t>
            </w:r>
          </w:p>
        </w:tc>
        <w:tc>
          <w:tcPr>
            <w:tcW w:w="1276" w:type="dxa"/>
          </w:tcPr>
          <w:p w:rsidR="00610597" w:rsidRPr="00B71A4B" w:rsidRDefault="00B71A4B" w:rsidP="00B71A4B">
            <w:pPr>
              <w:jc w:val="center"/>
              <w:rPr>
                <w:rFonts w:ascii="Times New Roman" w:hAnsi="Times New Roman" w:cs="Times New Roman"/>
              </w:rPr>
            </w:pPr>
            <w:r w:rsidRPr="00B71A4B">
              <w:rPr>
                <w:rFonts w:ascii="Times New Roman" w:hAnsi="Times New Roman" w:cs="Times New Roman"/>
              </w:rPr>
              <w:t>100</w:t>
            </w:r>
          </w:p>
        </w:tc>
        <w:tc>
          <w:tcPr>
            <w:tcW w:w="1843" w:type="dxa"/>
          </w:tcPr>
          <w:p w:rsidR="00610597" w:rsidRPr="004E7905" w:rsidRDefault="004E7905" w:rsidP="004E7905">
            <w:pPr>
              <w:jc w:val="center"/>
              <w:rPr>
                <w:rFonts w:ascii="Times New Roman" w:hAnsi="Times New Roman" w:cs="Times New Roman"/>
              </w:rPr>
            </w:pPr>
            <w:r w:rsidRPr="004E7905">
              <w:rPr>
                <w:rFonts w:ascii="Times New Roman" w:hAnsi="Times New Roman" w:cs="Times New Roman"/>
              </w:rPr>
              <w:t>100</w:t>
            </w:r>
          </w:p>
        </w:tc>
      </w:tr>
      <w:tr w:rsidR="00B71A4B" w:rsidTr="00DC65B3">
        <w:tc>
          <w:tcPr>
            <w:tcW w:w="8330" w:type="dxa"/>
            <w:gridSpan w:val="4"/>
          </w:tcPr>
          <w:p w:rsidR="00B71A4B" w:rsidRPr="00610597" w:rsidRDefault="00B71A4B">
            <w:pPr>
              <w:rPr>
                <w:rFonts w:ascii="Times New Roman" w:hAnsi="Times New Roman" w:cs="Times New Roman"/>
              </w:rPr>
            </w:pPr>
          </w:p>
        </w:tc>
      </w:tr>
      <w:tr w:rsidR="00B71A4B" w:rsidTr="00797BE5">
        <w:tc>
          <w:tcPr>
            <w:tcW w:w="3794" w:type="dxa"/>
          </w:tcPr>
          <w:p w:rsidR="00B71A4B" w:rsidRPr="00610597" w:rsidRDefault="00B71A4B">
            <w:pPr>
              <w:rPr>
                <w:rFonts w:ascii="Times New Roman" w:hAnsi="Times New Roman" w:cs="Times New Roman"/>
              </w:rPr>
            </w:pPr>
            <w:r>
              <w:rPr>
                <w:rFonts w:ascii="Times New Roman" w:hAnsi="Times New Roman" w:cs="Times New Roman"/>
              </w:rPr>
              <w:t>Dépense publique moyenne par étudiant</w:t>
            </w:r>
          </w:p>
        </w:tc>
        <w:tc>
          <w:tcPr>
            <w:tcW w:w="2693" w:type="dxa"/>
            <w:gridSpan w:val="2"/>
          </w:tcPr>
          <w:p w:rsidR="00B71A4B" w:rsidRPr="00610597" w:rsidRDefault="00B71A4B" w:rsidP="00B71A4B">
            <w:pPr>
              <w:jc w:val="center"/>
              <w:rPr>
                <w:rFonts w:ascii="Times New Roman" w:hAnsi="Times New Roman" w:cs="Times New Roman"/>
              </w:rPr>
            </w:pPr>
            <w:r>
              <w:rPr>
                <w:rFonts w:ascii="Times New Roman" w:hAnsi="Times New Roman" w:cs="Times New Roman"/>
              </w:rPr>
              <w:t>10 110 €</w:t>
            </w:r>
          </w:p>
        </w:tc>
        <w:tc>
          <w:tcPr>
            <w:tcW w:w="1843" w:type="dxa"/>
          </w:tcPr>
          <w:p w:rsidR="00B71A4B" w:rsidRPr="00610597" w:rsidRDefault="00B71A4B" w:rsidP="00B71A4B">
            <w:pPr>
              <w:jc w:val="center"/>
              <w:rPr>
                <w:rFonts w:ascii="Times New Roman" w:hAnsi="Times New Roman" w:cs="Times New Roman"/>
              </w:rPr>
            </w:pPr>
            <w:r>
              <w:rPr>
                <w:rFonts w:ascii="Times New Roman" w:hAnsi="Times New Roman" w:cs="Times New Roman"/>
              </w:rPr>
              <w:t>15 710 €</w:t>
            </w:r>
          </w:p>
        </w:tc>
      </w:tr>
    </w:tbl>
    <w:p w:rsidR="004E7905" w:rsidRDefault="004E7905" w:rsidP="004E7905">
      <w:pPr>
        <w:spacing w:after="0"/>
      </w:pPr>
      <w:r>
        <w:t>Source : ministère de l'Éducation nationale – Données 2019-2020 – © Observatoire des inégalités</w:t>
      </w:r>
      <w:r w:rsidR="00822D77">
        <w:t> ;</w:t>
      </w:r>
    </w:p>
    <w:p w:rsidR="00610597" w:rsidRPr="00822D77" w:rsidRDefault="0081206D" w:rsidP="004E7905">
      <w:pPr>
        <w:spacing w:after="0"/>
      </w:pPr>
      <w:hyperlink r:id="rId4" w:history="1">
        <w:r w:rsidR="004E7905" w:rsidRPr="00822D77">
          <w:rPr>
            <w:rStyle w:val="Lienhypertexte"/>
            <w:color w:val="auto"/>
            <w:u w:val="none"/>
          </w:rPr>
          <w:t>Ministère de l'éducation nationale, "Repères et références statistiques", 2021</w:t>
        </w:r>
      </w:hyperlink>
    </w:p>
    <w:p w:rsidR="004E7905" w:rsidRDefault="004E7905" w:rsidP="004E7905">
      <w:pPr>
        <w:spacing w:after="0"/>
      </w:pPr>
    </w:p>
    <w:p w:rsidR="004E7905" w:rsidRDefault="00AA47EA" w:rsidP="004E7905">
      <w:pPr>
        <w:spacing w:after="0"/>
        <w:rPr>
          <w:rFonts w:ascii="Times New Roman" w:hAnsi="Times New Roman" w:cs="Times New Roman"/>
        </w:rPr>
      </w:pPr>
      <w:r>
        <w:rPr>
          <w:rFonts w:ascii="Times New Roman" w:hAnsi="Times New Roman" w:cs="Times New Roman"/>
        </w:rPr>
        <w:t xml:space="preserve">1 </w:t>
      </w:r>
      <w:r w:rsidR="00A41816">
        <w:rPr>
          <w:rFonts w:ascii="Times New Roman" w:hAnsi="Times New Roman" w:cs="Times New Roman"/>
        </w:rPr>
        <w:t>–</w:t>
      </w:r>
      <w:r>
        <w:rPr>
          <w:rFonts w:ascii="Times New Roman" w:hAnsi="Times New Roman" w:cs="Times New Roman"/>
        </w:rPr>
        <w:t xml:space="preserve"> </w:t>
      </w:r>
      <w:r w:rsidR="00A41816">
        <w:rPr>
          <w:rFonts w:ascii="Times New Roman" w:hAnsi="Times New Roman" w:cs="Times New Roman"/>
        </w:rPr>
        <w:t xml:space="preserve">Caractérisez la situation des enfants de cadres </w:t>
      </w:r>
      <w:r w:rsidR="00822D77">
        <w:rPr>
          <w:rFonts w:ascii="Times New Roman" w:hAnsi="Times New Roman" w:cs="Times New Roman"/>
        </w:rPr>
        <w:t xml:space="preserve">et professions intellectuelles supérieures au cours de leur cursus </w:t>
      </w:r>
      <w:proofErr w:type="gramStart"/>
      <w:r w:rsidR="00822D77">
        <w:rPr>
          <w:rFonts w:ascii="Times New Roman" w:hAnsi="Times New Roman" w:cs="Times New Roman"/>
        </w:rPr>
        <w:t>universitaire</w:t>
      </w:r>
      <w:r w:rsidR="006B777B">
        <w:rPr>
          <w:rFonts w:ascii="Times New Roman" w:hAnsi="Times New Roman" w:cs="Times New Roman"/>
        </w:rPr>
        <w:t xml:space="preserve"> .</w:t>
      </w:r>
      <w:proofErr w:type="gramEnd"/>
      <w:r w:rsidR="006B777B">
        <w:rPr>
          <w:rFonts w:ascii="Times New Roman" w:hAnsi="Times New Roman" w:cs="Times New Roman"/>
        </w:rPr>
        <w:t xml:space="preserve"> (1,5 points)</w:t>
      </w:r>
    </w:p>
    <w:p w:rsidR="004E7905" w:rsidRDefault="00AA47EA" w:rsidP="004E7905">
      <w:pPr>
        <w:spacing w:after="0"/>
        <w:rPr>
          <w:rFonts w:ascii="Times New Roman" w:hAnsi="Times New Roman" w:cs="Times New Roman"/>
        </w:rPr>
      </w:pPr>
      <w:r>
        <w:rPr>
          <w:rFonts w:ascii="Times New Roman" w:hAnsi="Times New Roman" w:cs="Times New Roman"/>
        </w:rPr>
        <w:t xml:space="preserve">2 - </w:t>
      </w:r>
      <w:r w:rsidR="004E7905">
        <w:rPr>
          <w:rFonts w:ascii="Times New Roman" w:hAnsi="Times New Roman" w:cs="Times New Roman"/>
        </w:rPr>
        <w:t xml:space="preserve">A l’aide du document et de vos connaissances, vous vous demanderez dans quelle mesure les services </w:t>
      </w:r>
      <w:r w:rsidR="004E7905" w:rsidRPr="006B777B">
        <w:rPr>
          <w:rFonts w:ascii="Times New Roman" w:hAnsi="Times New Roman" w:cs="Times New Roman"/>
        </w:rPr>
        <w:t>publics</w:t>
      </w:r>
      <w:r w:rsidR="004E7905">
        <w:rPr>
          <w:rFonts w:ascii="Times New Roman" w:hAnsi="Times New Roman" w:cs="Times New Roman"/>
        </w:rPr>
        <w:t xml:space="preserve"> contribuent à réduire les inégalités.</w:t>
      </w:r>
      <w:r w:rsidR="006B777B">
        <w:rPr>
          <w:rFonts w:ascii="Times New Roman" w:hAnsi="Times New Roman" w:cs="Times New Roman"/>
        </w:rPr>
        <w:t xml:space="preserve"> (4,5 points)</w:t>
      </w:r>
    </w:p>
    <w:p w:rsidR="005B00F5" w:rsidRDefault="005B00F5" w:rsidP="004E7905">
      <w:pPr>
        <w:spacing w:after="0"/>
        <w:rPr>
          <w:rFonts w:ascii="Times New Roman" w:hAnsi="Times New Roman" w:cs="Times New Roman"/>
        </w:rPr>
      </w:pPr>
    </w:p>
    <w:p w:rsidR="00A41816" w:rsidRPr="00A41816" w:rsidRDefault="00A41816" w:rsidP="00A41816">
      <w:pPr>
        <w:rPr>
          <w:rFonts w:ascii="Times New Roman" w:hAnsi="Times New Roman" w:cs="Times New Roman"/>
        </w:rPr>
      </w:pPr>
    </w:p>
    <w:sectPr w:rsidR="00A41816" w:rsidRPr="00A41816" w:rsidSect="001258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B00E1"/>
    <w:rsid w:val="001231A2"/>
    <w:rsid w:val="0012585F"/>
    <w:rsid w:val="002F7F25"/>
    <w:rsid w:val="003377CD"/>
    <w:rsid w:val="004E7905"/>
    <w:rsid w:val="00526BA3"/>
    <w:rsid w:val="00532DE7"/>
    <w:rsid w:val="005B00F5"/>
    <w:rsid w:val="00607D5F"/>
    <w:rsid w:val="00610597"/>
    <w:rsid w:val="006B777B"/>
    <w:rsid w:val="0081206D"/>
    <w:rsid w:val="00822D77"/>
    <w:rsid w:val="00A41816"/>
    <w:rsid w:val="00AA47EA"/>
    <w:rsid w:val="00AC350F"/>
    <w:rsid w:val="00B71A4B"/>
    <w:rsid w:val="00C02B9B"/>
    <w:rsid w:val="00FB00E1"/>
    <w:rsid w:val="00FC6B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B00E1"/>
    <w:rPr>
      <w:color w:val="0000FF"/>
      <w:u w:val="single"/>
    </w:rPr>
  </w:style>
  <w:style w:type="character" w:styleId="Lienhypertextesuivivisit">
    <w:name w:val="FollowedHyperlink"/>
    <w:basedOn w:val="Policepardfaut"/>
    <w:uiPriority w:val="99"/>
    <w:semiHidden/>
    <w:unhideWhenUsed/>
    <w:rsid w:val="00610597"/>
    <w:rPr>
      <w:color w:val="800080" w:themeColor="followedHyperlink"/>
      <w:u w:val="single"/>
    </w:rPr>
  </w:style>
  <w:style w:type="table" w:styleId="Grilledutableau">
    <w:name w:val="Table Grid"/>
    <w:basedOn w:val="TableauNormal"/>
    <w:uiPriority w:val="59"/>
    <w:rsid w:val="00610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63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cation.gouv.fr/media/92540/downlo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3</cp:revision>
  <dcterms:created xsi:type="dcterms:W3CDTF">2021-11-11T18:36:00Z</dcterms:created>
  <dcterms:modified xsi:type="dcterms:W3CDTF">2021-11-11T19:24:00Z</dcterms:modified>
</cp:coreProperties>
</file>