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Pr>
      <w:r>
        <w:rPr>
          <w:b/>
        </w:rPr>
        <w:t xml:space="preserve">Chapitre - Quelles politiques économiques dans le cadre européen ?</w:t>
      </w:r>
      <w:r/>
    </w:p>
    <w:p>
      <w:pPr>
        <w:ind w:left="-992" w:right="0" w:firstLine="992"/>
        <w:rPr>
          <w:rFonts w:ascii="Times New Roman" w:hAnsi="Times New Roman" w:cs="Times New Roman" w:eastAsia="Times New Roman"/>
          <w:color w:val="000000"/>
          <w:sz w:val="24"/>
          <w:highlight w:val="none"/>
        </w:rPr>
      </w:pPr>
      <w:r>
        <w:rPr>
          <w:highlight w:val="lightGray"/>
        </w:rPr>
        <w:t xml:space="preserve">Objectif d’apprentissage évalué </w:t>
      </w:r>
      <w:r>
        <w:t xml:space="preserve">: </w:t>
      </w:r>
      <w:r>
        <w:rPr>
          <w:rFonts w:ascii="Times New Roman" w:hAnsi="Times New Roman" w:cs="Times New Roman" w:eastAsia="Times New Roman"/>
          <w:color w:val="000000"/>
          <w:sz w:val="24"/>
        </w:rPr>
        <w:t xml:space="preserve">Savoir que la politique monétaire dans la zone euro, conduite de façon indépendante par la Banque centrale européenne, est unique alors que la politique budgétaire est du ressort de chaque pays membre mais contrainte par les traités européens ;</w:t>
      </w:r>
      <w:r/>
      <w:r/>
      <w: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tbl>
      <w:tblPr>
        <w:tblStyle w:val="46"/>
        <w:tblW w:w="0" w:type="auto"/>
        <w:tblInd w:w="-1077"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fixed"/>
        <w:tblLook w:val="04A0" w:firstRow="1" w:lastRow="0" w:firstColumn="1" w:lastColumn="0" w:noHBand="0" w:noVBand="1"/>
      </w:tblPr>
      <w:tblGrid>
        <w:gridCol w:w="5584"/>
        <w:gridCol w:w="5102"/>
      </w:tblGrid>
      <w:tr>
        <w:trPr/>
        <w:tc>
          <w:tcPr>
            <w:tcBorders>
              <w:left w:val="single" w:color="000000" w:sz="6" w:space="0"/>
              <w:top w:val="single" w:color="000000" w:sz="6" w:space="0"/>
              <w:right w:val="none" w:color="000000" w:sz="4" w:space="0"/>
              <w:bottom w:val="single" w:color="000000" w:sz="6" w:space="0"/>
            </w:tcBorders>
            <w:tcMar>
              <w:left w:w="57" w:type="dxa"/>
              <w:top w:w="57" w:type="dxa"/>
              <w:right w:w="0" w:type="dxa"/>
              <w:bottom w:w="57" w:type="dxa"/>
            </w:tcMar>
            <w:tcW w:w="5584"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2"/>
              </w:rPr>
              <w:t xml:space="preserve">Voici le barème :</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i/>
                <w:color w:val="000000"/>
                <w:sz w:val="22"/>
              </w:rPr>
              <w:t xml:space="preserve">&gt;&gt;&gt; 2 points si bonne(s) réponse(s) complète(s) </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i/>
                <w:color w:val="000000"/>
                <w:sz w:val="22"/>
              </w:rPr>
              <w:t xml:space="preserve">&gt;&gt;&gt; 1 point si bonnes réponses incomplètes (1/2, 2/3 ou 3/4)</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i/>
                <w:color w:val="000000"/>
                <w:sz w:val="22"/>
              </w:rPr>
              <w:t xml:space="preserve">&gt;&gt;&gt; - 1 point si erreur ou si mauvaise réponse </w:t>
            </w:r>
            <w:r>
              <w:rPr>
                <w:sz w:val="24"/>
              </w:rPr>
            </w:r>
            <w:r/>
          </w:p>
          <w:p>
            <w:pPr>
              <w:ind w:left="0" w:right="0" w:firstLine="0"/>
              <w:jc w:val="both"/>
              <w:spacing w:lineRule="atLeast" w:line="276" w:after="142"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i/>
                <w:color w:val="000000"/>
                <w:sz w:val="22"/>
              </w:rPr>
              <w:t xml:space="preserve">&gt;&gt;&gt; 0 point si pas de réponse</w:t>
            </w:r>
            <w:r>
              <w:rPr>
                <w:sz w:val="24"/>
              </w:rPr>
            </w:r>
            <w:r/>
          </w:p>
        </w:tc>
        <w:tc>
          <w:tcPr>
            <w:tcBorders>
              <w:left w:val="single" w:color="000000" w:sz="6" w:space="0"/>
              <w:top w:val="single" w:color="000000" w:sz="6" w:space="0"/>
              <w:right w:val="single" w:color="000000" w:sz="6" w:space="0"/>
              <w:bottom w:val="single" w:color="000000" w:sz="6" w:space="0"/>
            </w:tcBorders>
            <w:tcMar>
              <w:left w:w="57" w:type="dxa"/>
              <w:top w:w="57" w:type="dxa"/>
              <w:right w:w="57" w:type="dxa"/>
              <w:bottom w:w="57" w:type="dxa"/>
            </w:tcMar>
            <w:tcW w:w="5102"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2"/>
              </w:rPr>
              <w:t xml:space="preserve">1) L’objectif principal de la BCE est de :</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2"/>
              </w:rPr>
              <w:t xml:space="preserve">A –  contrôler le budget de l’Etat</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2"/>
              </w:rPr>
              <w:t xml:space="preserve">B –  lutter contre le chômage</w:t>
            </w:r>
            <w:r>
              <w:rPr>
                <w:sz w:val="24"/>
              </w:rPr>
            </w:r>
            <w:r/>
          </w:p>
          <w:p>
            <w:pPr>
              <w:ind w:left="0" w:right="0" w:firstLine="0"/>
              <w:jc w:val="both"/>
              <w:spacing w:lineRule="atLeast" w:line="276" w:after="0" w:before="240"/>
              <w:rPr>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C –  maîtriser l’inflation</w:t>
            </w:r>
            <w:r>
              <w:rPr>
                <w:b/>
                <w:color w:val="FF0000"/>
                <w:sz w:val="24"/>
              </w:rPr>
            </w:r>
            <w:r/>
          </w:p>
          <w:p>
            <w:pPr>
              <w:ind w:left="0" w:right="0" w:firstLine="0"/>
              <w:jc w:val="both"/>
              <w:spacing w:lineRule="atLeast" w:line="276" w:after="142"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2"/>
              </w:rPr>
              <w:t xml:space="preserve">D –  relancer la croissance économique</w:t>
            </w:r>
            <w:r>
              <w:rPr>
                <w:sz w:val="24"/>
              </w:rPr>
            </w:r>
            <w:r/>
          </w:p>
        </w:tc>
      </w:tr>
      <w:tr>
        <w:trPr/>
        <w:tc>
          <w:tcPr>
            <w:tcBorders>
              <w:left w:val="single" w:color="000000" w:sz="6" w:space="0"/>
              <w:top w:val="none" w:color="000000" w:sz="4" w:space="0"/>
              <w:right w:val="none" w:color="000000" w:sz="4" w:space="0"/>
              <w:bottom w:val="single" w:color="000000" w:sz="6" w:space="0"/>
            </w:tcBorders>
            <w:tcMar>
              <w:left w:w="57" w:type="dxa"/>
              <w:top w:w="0" w:type="dxa"/>
              <w:right w:w="0" w:type="dxa"/>
              <w:bottom w:w="57" w:type="dxa"/>
            </w:tcMar>
            <w:tcW w:w="5584"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2"/>
              </w:rPr>
              <w:t xml:space="preserve">2) La politique monétaire est unique car :</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000000"/>
                <w:sz w:val="22"/>
              </w:rPr>
              <w:t xml:space="preserve">A – tous les pays de l’UE pratiquent le même taux d’intérêt directeur</w:t>
            </w:r>
            <w:r>
              <w:rPr>
                <w:b w:val="false"/>
                <w:sz w:val="24"/>
              </w:rPr>
            </w:r>
            <w:r/>
          </w:p>
          <w:p>
            <w:pPr>
              <w:ind w:left="0" w:right="0" w:firstLine="0"/>
              <w:jc w:val="both"/>
              <w:spacing w:lineRule="atLeast" w:line="276" w:after="0" w:before="240"/>
              <w:rPr>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B –  tous les pays de la zone euro ont la même monnaie</w:t>
            </w:r>
            <w:r>
              <w:rPr>
                <w:b/>
                <w:color w:val="FF0000"/>
                <w:sz w:val="24"/>
              </w:rPr>
            </w:r>
            <w:r/>
          </w:p>
          <w:p>
            <w:pPr>
              <w:ind w:left="0" w:right="0" w:firstLine="0"/>
              <w:jc w:val="both"/>
              <w:spacing w:lineRule="atLeast" w:line="276" w:after="0" w:before="240"/>
              <w:rPr>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C – il n’y a qu’une seule banque centrale européenne</w:t>
            </w:r>
            <w:r>
              <w:rPr>
                <w:color w:val="FF0000"/>
                <w:sz w:val="24"/>
              </w:rPr>
            </w:r>
            <w:r/>
          </w:p>
          <w:p>
            <w:pPr>
              <w:ind w:left="0" w:right="0" w:firstLine="0"/>
              <w:jc w:val="both"/>
              <w:spacing w:lineRule="atLeast" w:line="276" w:after="142"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D –  les pays de la zone euro doivent respecter les règles des traités de l’UE </w:t>
            </w:r>
            <w:r>
              <w:rPr>
                <w:b/>
                <w:sz w:val="24"/>
              </w:rPr>
            </w:r>
            <w:r/>
          </w:p>
        </w:tc>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57" w:type="dxa"/>
            </w:tcMar>
            <w:tcW w:w="5102"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2"/>
              </w:rPr>
              <w:t xml:space="preserve">3) La politique budgétaire de chaque état membre est :</w:t>
            </w:r>
            <w:r>
              <w:rPr>
                <w:sz w:val="24"/>
              </w:rPr>
            </w:r>
            <w:r/>
          </w:p>
          <w:p>
            <w:pPr>
              <w:ind w:left="0" w:right="0" w:firstLine="0"/>
              <w:jc w:val="both"/>
              <w:spacing w:lineRule="atLeast" w:line="276" w:after="0" w:before="240"/>
              <w:rPr>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A –  contrainte par les traités de l’UE</w:t>
            </w:r>
            <w:r>
              <w:rPr>
                <w:b/>
                <w:color w:val="FF0000"/>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B – établie par chaque état membre</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2"/>
              </w:rPr>
              <w:t xml:space="preserve">C – </w:t>
            </w:r>
            <w:r>
              <w:rPr>
                <w:rFonts w:ascii="Times New Roman" w:hAnsi="Times New Roman" w:cs="Times New Roman" w:eastAsia="Times New Roman"/>
                <w:color w:val="000000"/>
                <w:sz w:val="22"/>
              </w:rPr>
              <w:t xml:space="preserve">établie</w:t>
            </w:r>
            <w:r>
              <w:rPr>
                <w:rFonts w:ascii="Times New Roman" w:hAnsi="Times New Roman" w:cs="Times New Roman" w:eastAsia="Times New Roman"/>
                <w:color w:val="000000"/>
                <w:sz w:val="22"/>
              </w:rPr>
              <w:t xml:space="preserve"> par la commission européenne</w:t>
            </w:r>
            <w:r>
              <w:rPr>
                <w:sz w:val="24"/>
              </w:rPr>
            </w:r>
            <w:r/>
          </w:p>
          <w:p>
            <w:pPr>
              <w:ind w:left="0" w:right="0" w:firstLine="0"/>
              <w:jc w:val="both"/>
              <w:spacing w:lineRule="atLeast" w:line="276" w:after="142" w:before="240"/>
              <w:rPr>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D – agit sur la conjoncture économique</w:t>
            </w:r>
            <w:r>
              <w:rPr>
                <w:b/>
                <w:color w:val="FF0000"/>
                <w:sz w:val="24"/>
              </w:rPr>
            </w:r>
            <w:r/>
          </w:p>
        </w:tc>
      </w:tr>
      <w:tr>
        <w:trPr/>
        <w:tc>
          <w:tcPr>
            <w:tcBorders>
              <w:left w:val="single" w:color="000000" w:sz="6" w:space="0"/>
              <w:top w:val="none" w:color="000000" w:sz="4" w:space="0"/>
              <w:right w:val="none" w:color="000000" w:sz="4" w:space="0"/>
              <w:bottom w:val="single" w:color="000000" w:sz="6" w:space="0"/>
            </w:tcBorders>
            <w:tcMar>
              <w:left w:w="57" w:type="dxa"/>
              <w:top w:w="0" w:type="dxa"/>
              <w:right w:w="0" w:type="dxa"/>
              <w:bottom w:w="57" w:type="dxa"/>
            </w:tcMar>
            <w:tcW w:w="5584"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2"/>
              </w:rPr>
              <w:t xml:space="preserve">4) Les traités européens permettent de :</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2"/>
              </w:rPr>
              <w:t xml:space="preserve">A –  définir la politique budgétaire d’un état membre</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2"/>
              </w:rPr>
              <w:t xml:space="preserve">B –  d’exercer un contrôle de la commission sur la BCE</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2"/>
              </w:rPr>
              <w:t xml:space="preserve">C –  d’exercer un contrôle de la BCE sur les états membres</w:t>
            </w:r>
            <w:r>
              <w:rPr>
                <w:sz w:val="24"/>
              </w:rPr>
            </w:r>
            <w:r/>
          </w:p>
          <w:p>
            <w:pPr>
              <w:ind w:left="0" w:right="0" w:firstLine="0"/>
              <w:jc w:val="both"/>
              <w:spacing w:lineRule="atLeast" w:line="276" w:after="142" w:before="240"/>
              <w:rPr>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D –  d’exercer un contrôle de la commission sur les états membres</w:t>
            </w:r>
            <w:r>
              <w:rPr>
                <w:color w:val="FF0000"/>
                <w:sz w:val="24"/>
              </w:rPr>
            </w:r>
            <w:r/>
          </w:p>
        </w:tc>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57" w:type="dxa"/>
            </w:tcMar>
            <w:tcW w:w="5102" w:type="dxa"/>
            <w:vAlign w:val="top"/>
            <w:textDirection w:val="lrTb"/>
            <w:noWrap w:val="false"/>
          </w:tcPr>
          <w:p>
            <w:pPr>
              <w:ind w:left="0" w:right="0" w:firstLine="0"/>
              <w:jc w:val="both"/>
              <w:spacing w:lineRule="atLeast" w:line="276" w:after="0" w:before="0"/>
              <w:rPr>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auto"/>
                <w:sz w:val="22"/>
              </w:rPr>
              <w:t xml:space="preserve">5) La politique monétaire se distingue des politiques budgétaires car :</w:t>
            </w:r>
            <w:r>
              <w:rPr>
                <w:color w:val="auto"/>
                <w:sz w:val="24"/>
              </w:rPr>
            </w:r>
            <w:r/>
          </w:p>
          <w:p>
            <w:pPr>
              <w:ind w:left="0" w:right="0" w:firstLine="0"/>
              <w:jc w:val="both"/>
              <w:spacing w:lineRule="atLeast" w:line="276" w:after="0" w:before="240"/>
              <w:rPr>
                <w:rFonts w:ascii="Times New Roman" w:hAnsi="Times New Roman" w:cs="Times New Roman" w:eastAsia="Times New Roman"/>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A –  elle est unique</w:t>
            </w:r>
            <w:r>
              <w:rPr>
                <w:rFonts w:ascii="Times New Roman" w:hAnsi="Times New Roman" w:cs="Times New Roman" w:eastAsia="Times New Roman"/>
                <w:b/>
                <w:color w:val="FF0000"/>
                <w:sz w:val="22"/>
              </w:rPr>
            </w:r>
            <w:r/>
          </w:p>
          <w:p>
            <w:pPr>
              <w:ind w:left="0" w:right="0" w:firstLine="0"/>
              <w:jc w:val="both"/>
              <w:spacing w:lineRule="atLeast" w:line="276" w:after="0" w:before="240"/>
              <w:rPr>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r>
            <w:r>
              <w:rPr>
                <w:rFonts w:ascii="Times New Roman" w:hAnsi="Times New Roman" w:cs="Times New Roman" w:eastAsia="Times New Roman"/>
                <w:b/>
                <w:color w:val="FF0000"/>
                <w:sz w:val="22"/>
              </w:rPr>
              <w:t xml:space="preserve">B –  elle repose sur le taux d’intérêt directeur</w:t>
            </w:r>
            <w:r>
              <w:rPr>
                <w:b/>
                <w:color w:val="FF0000"/>
                <w:sz w:val="24"/>
              </w:rPr>
            </w:r>
            <w:r/>
          </w:p>
          <w:p>
            <w:pPr>
              <w:ind w:left="0" w:right="0" w:firstLine="0"/>
              <w:jc w:val="both"/>
              <w:spacing w:lineRule="atLeast" w:line="276" w:after="0" w:before="240"/>
              <w:rPr>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C – les pays de la zone euro utilisent la même monnaie</w:t>
            </w:r>
            <w:r>
              <w:rPr>
                <w:b/>
                <w:color w:val="FF0000"/>
                <w:sz w:val="24"/>
              </w:rPr>
            </w:r>
            <w:r/>
          </w:p>
          <w:p>
            <w:pPr>
              <w:ind w:left="0" w:right="0" w:firstLine="0"/>
              <w:jc w:val="both"/>
              <w:spacing w:lineRule="atLeast" w:line="276" w:after="142" w:before="240"/>
              <w:rPr>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D – elle est définie par la BCE</w:t>
            </w:r>
            <w:r>
              <w:rPr>
                <w:b/>
                <w:color w:val="FF0000"/>
                <w:sz w:val="24"/>
              </w:rPr>
            </w:r>
            <w:r/>
          </w:p>
        </w:tc>
      </w:tr>
    </w:tbl>
    <w:p>
      <w:pPr>
        <w:rPr>
          <w:rFonts w:ascii="Times New Roman" w:hAnsi="Times New Roman" w:cs="Times New Roman" w:eastAsia="Times New Roman"/>
          <w:color w:val="000000"/>
          <w:sz w:val="24"/>
          <w:highlight w:val="none"/>
        </w:rP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shd w:val="nil"/>
        <w:rPr>
          <w:rFonts w:ascii="Times New Roman" w:hAnsi="Times New Roman" w:cs="Times New Roman" w:eastAsia="Times New Roman"/>
          <w:color w:val="000000"/>
          <w:sz w:val="24"/>
          <w:highlight w:val="none"/>
        </w:rPr>
      </w:pPr>
      <w:r>
        <w:rPr>
          <w:rFonts w:ascii="Times New Roman" w:hAnsi="Times New Roman" w:cs="Times New Roman" w:eastAsia="Times New Roman"/>
          <w:color w:val="000000"/>
          <w:sz w:val="24"/>
          <w:highlight w:val="none"/>
        </w:rPr>
        <w:br w:type="page"/>
      </w:r>
      <w:r>
        <w:rPr>
          <w:rFonts w:ascii="Times New Roman" w:hAnsi="Times New Roman" w:cs="Times New Roman" w:eastAsia="Times New Roman"/>
          <w:color w:val="000000"/>
          <w:sz w:val="24"/>
          <w:highlight w:val="none"/>
        </w:rPr>
      </w:r>
    </w:p>
    <w:p>
      <w:pPr>
        <w:jc w:val="center"/>
      </w:pPr>
      <w:r>
        <w:rPr>
          <w:b/>
        </w:rPr>
        <w:t xml:space="preserve">Chapitre - Quelles politiques économiques dans le cadre européen ?</w:t>
      </w:r>
      <w:r/>
      <w:r/>
    </w:p>
    <w:p>
      <w:pPr>
        <w:ind w:left="-992" w:right="0" w:firstLine="992"/>
        <w:rPr>
          <w:rFonts w:ascii="Times New Roman" w:hAnsi="Times New Roman" w:cs="Times New Roman" w:eastAsia="Times New Roman"/>
          <w:color w:val="000000"/>
          <w:sz w:val="24"/>
          <w:highlight w:val="none"/>
        </w:rPr>
      </w:pPr>
      <w:r>
        <w:rPr>
          <w:highlight w:val="lightGray"/>
        </w:rPr>
        <w:t xml:space="preserve">Objectif d’apprentissage évalué </w:t>
      </w:r>
      <w:r>
        <w:t xml:space="preserve">: </w:t>
      </w:r>
      <w:r>
        <w:rPr>
          <w:rFonts w:ascii="Times New Roman" w:hAnsi="Times New Roman" w:cs="Times New Roman" w:eastAsia="Times New Roman"/>
          <w:color w:val="000000"/>
          <w:sz w:val="24"/>
        </w:rPr>
        <w:t xml:space="preserve">Savoir que la politique monétaire dans la zone euro, conduite de façon indépendante par la Banque centrale européenne, est unique alors que la politique budgétaire est du ressort de chaque pays membre mais contrainte par les traités européens ;</w:t>
      </w:r>
      <w:r>
        <w:rPr>
          <w:rFonts w:ascii="Times New Roman" w:hAnsi="Times New Roman" w:cs="Times New Roman" w:eastAsia="Times New Roman"/>
          <w:color w:val="000000"/>
          <w:sz w:val="24"/>
          <w:highlight w:val="none"/>
        </w:rPr>
      </w:r>
      <w:r/>
    </w:p>
    <w:p>
      <w:pPr>
        <w:ind w:left="-992" w:right="0" w:firstLine="992"/>
        <w:rPr>
          <w:rFonts w:ascii="Times New Roman" w:hAnsi="Times New Roman" w:cs="Times New Roman" w:eastAsia="Times New Roman"/>
          <w:color w:val="000000"/>
          <w:sz w:val="24"/>
          <w:highlight w:val="none"/>
        </w:rPr>
      </w:pPr>
      <w:r>
        <w:rPr>
          <w:rFonts w:ascii="Times New Roman" w:hAnsi="Times New Roman" w:cs="Times New Roman" w:eastAsia="Times New Roman"/>
          <w:color w:val="000000"/>
          <w:sz w:val="24"/>
          <w:highlight w:val="none"/>
        </w:rPr>
      </w:r>
      <w:r>
        <mc:AlternateContent>
          <mc:Choice Requires="wpg">
            <w:drawing>
              <wp:inline xmlns:wp="http://schemas.openxmlformats.org/drawingml/2006/wordprocessingDrawing" distT="0" distB="0" distL="0" distR="0">
                <wp:extent cx="5734050" cy="16764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04669" name="" hidden="0"/>
                        <pic:cNvPicPr>
                          <a:picLocks noChangeAspect="1"/>
                        </pic:cNvPicPr>
                        <pic:nvPr isPhoto="0" userDrawn="0"/>
                      </pic:nvPicPr>
                      <pic:blipFill>
                        <a:blip r:embed="rId9"/>
                        <a:stretch/>
                      </pic:blipFill>
                      <pic:spPr bwMode="auto">
                        <a:xfrm>
                          <a:off x="0" y="0"/>
                          <a:ext cx="5734049" cy="16763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51.5pt;height:132.0pt;" stroked="false">
                <v:path textboxrect="0,0,0,0"/>
                <v:imagedata r:id="rId9" o:title=""/>
              </v:shape>
            </w:pict>
          </mc:Fallback>
        </mc:AlternateContent>
      </w: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tbl>
      <w:tblPr>
        <w:tblStyle w:val="46"/>
        <w:tblW w:w="0" w:type="auto"/>
        <w:tblInd w:w="-1077"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fixed"/>
        <w:tblLook w:val="04A0" w:firstRow="1" w:lastRow="0" w:firstColumn="1" w:lastColumn="0" w:noHBand="0" w:noVBand="1"/>
      </w:tblPr>
      <w:tblGrid>
        <w:gridCol w:w="5584"/>
        <w:gridCol w:w="5102"/>
      </w:tblGrid>
      <w:tr>
        <w:trPr/>
        <w:tc>
          <w:tcPr>
            <w:tcBorders>
              <w:left w:val="single" w:color="000000" w:sz="6" w:space="0"/>
              <w:top w:val="single" w:color="000000" w:sz="6" w:space="0"/>
              <w:right w:val="none" w:color="000000" w:sz="4" w:space="0"/>
              <w:bottom w:val="single" w:color="000000" w:sz="6" w:space="0"/>
            </w:tcBorders>
            <w:tcMar>
              <w:left w:w="57" w:type="dxa"/>
              <w:top w:w="57" w:type="dxa"/>
              <w:right w:w="0" w:type="dxa"/>
              <w:bottom w:w="57" w:type="dxa"/>
            </w:tcMar>
            <w:tcW w:w="5584"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2"/>
              </w:rPr>
              <w:t xml:space="preserve">Voici le barème :</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i/>
                <w:color w:val="000000"/>
                <w:sz w:val="22"/>
              </w:rPr>
              <w:t xml:space="preserve">&gt;&gt;&gt; 2 points si bonne(s) réponse(s) complète(s) </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i/>
                <w:color w:val="000000"/>
                <w:sz w:val="22"/>
              </w:rPr>
              <w:t xml:space="preserve">&gt;&gt;&gt; 1 point si bonnes réponses incomplètes (1/2, 2/3 ou 3/4)</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i/>
                <w:color w:val="000000"/>
                <w:sz w:val="22"/>
              </w:rPr>
              <w:t xml:space="preserve">&gt;&gt;&gt; - 1 point si erreur ou si mauvaise réponse </w:t>
            </w:r>
            <w:r>
              <w:rPr>
                <w:sz w:val="24"/>
              </w:rPr>
            </w:r>
            <w:r/>
          </w:p>
          <w:p>
            <w:pPr>
              <w:ind w:left="0" w:right="0" w:firstLine="0"/>
              <w:jc w:val="both"/>
              <w:spacing w:lineRule="atLeast" w:line="276" w:after="142"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i/>
                <w:color w:val="000000"/>
                <w:sz w:val="22"/>
              </w:rPr>
              <w:t xml:space="preserve">&gt;&gt;&gt; 0 point si pas de réponse</w:t>
            </w:r>
            <w:r>
              <w:rPr>
                <w:sz w:val="24"/>
              </w:rPr>
            </w:r>
            <w:r/>
          </w:p>
        </w:tc>
        <w:tc>
          <w:tcPr>
            <w:tcBorders>
              <w:left w:val="single" w:color="000000" w:sz="6" w:space="0"/>
              <w:top w:val="single" w:color="000000" w:sz="6" w:space="0"/>
              <w:right w:val="single" w:color="000000" w:sz="6" w:space="0"/>
              <w:bottom w:val="single" w:color="000000" w:sz="6" w:space="0"/>
            </w:tcBorders>
            <w:tcMar>
              <w:left w:w="57" w:type="dxa"/>
              <w:top w:w="57" w:type="dxa"/>
              <w:right w:w="57" w:type="dxa"/>
              <w:bottom w:w="57" w:type="dxa"/>
            </w:tcMar>
            <w:tcW w:w="5102"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2"/>
              </w:rPr>
              <w:t xml:space="preserve">1) Les deux variables du document sont :</w:t>
            </w:r>
            <w:r>
              <w:rPr>
                <w:sz w:val="24"/>
              </w:rPr>
            </w:r>
            <w:r/>
          </w:p>
          <w:p>
            <w:pPr>
              <w:ind w:left="0" w:right="0" w:firstLine="0"/>
              <w:jc w:val="both"/>
              <w:spacing w:lineRule="atLeast" w:line="276" w:after="0" w:before="240"/>
              <w:rPr>
                <w:rFonts w:ascii="Times New Roman" w:hAnsi="Times New Roman" w:cs="Times New Roman" w:eastAsia="Times New Roman"/>
                <w:b/>
                <w:color w:val="FF0000"/>
                <w:sz w:val="22"/>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A – des éléments de politique budgétaire</w:t>
            </w:r>
            <w:r>
              <w:rPr>
                <w:b/>
                <w:color w:val="FF0000"/>
              </w:rPr>
            </w:r>
          </w:p>
          <w:p>
            <w:pPr>
              <w:ind w:left="0" w:right="0" w:firstLine="0"/>
              <w:jc w:val="both"/>
              <w:spacing w:lineRule="atLeast" w:line="276" w:after="0" w:before="240"/>
              <w:rPr>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B –</w:t>
            </w:r>
            <w:r>
              <w:rPr>
                <w:rFonts w:ascii="Times New Roman" w:hAnsi="Times New Roman" w:cs="Times New Roman" w:eastAsia="Times New Roman"/>
                <w:b/>
                <w:color w:val="FF0000"/>
                <w:sz w:val="22"/>
              </w:rPr>
              <w:t xml:space="preserve">  encadrées par les traités de l’UE</w:t>
            </w:r>
            <w:r>
              <w:rPr>
                <w:b/>
                <w:color w:val="FF0000"/>
              </w:rPr>
            </w:r>
            <w:r>
              <w:rPr>
                <w:b/>
                <w:color w:val="FF0000"/>
              </w:rPr>
            </w:r>
          </w:p>
          <w:p>
            <w:pPr>
              <w:ind w:left="0" w:right="0" w:firstLine="0"/>
              <w:jc w:val="both"/>
              <w:spacing w:lineRule="atLeast" w:line="276" w:after="0" w:before="240"/>
              <w:rPr>
                <w:b/>
                <w:color w:val="000000" w:themeColor="text1"/>
              </w:rPr>
              <w:pBdr>
                <w:left w:val="none" w:color="000000" w:sz="4" w:space="0"/>
                <w:top w:val="none" w:color="000000" w:sz="4" w:space="0"/>
                <w:right w:val="none" w:color="000000" w:sz="4" w:space="0"/>
                <w:bottom w:val="none" w:color="000000" w:sz="4" w:space="0"/>
              </w:pBdr>
            </w:pPr>
            <w:r>
              <w:rPr>
                <w:b/>
                <w:color w:val="FF0000"/>
              </w:rPr>
            </w:r>
            <w:r>
              <w:rPr>
                <w:rFonts w:ascii="Times New Roman" w:hAnsi="Times New Roman" w:cs="Times New Roman" w:eastAsia="Times New Roman"/>
                <w:b/>
                <w:color w:val="FF0000"/>
                <w:sz w:val="22"/>
              </w:rPr>
              <w:t xml:space="preserve">C –  exprimées en % de comparaison</w:t>
            </w:r>
            <w:r>
              <w:rPr>
                <w:b/>
                <w:color w:val="FF0000"/>
              </w:rPr>
            </w:r>
            <w:r>
              <w:rPr>
                <w:b/>
                <w:color w:val="000000" w:themeColor="text1"/>
              </w:rPr>
            </w:r>
          </w:p>
          <w:p>
            <w:pPr>
              <w:ind w:left="0" w:right="0" w:firstLine="0"/>
              <w:jc w:val="both"/>
              <w:spacing w:lineRule="atLeast" w:line="276" w:after="0" w:before="240"/>
              <w:rPr>
                <w:rFonts w:ascii="Times New Roman" w:hAnsi="Times New Roman" w:cs="Times New Roman" w:eastAsia="Times New Roman"/>
                <w:color w:val="000000"/>
                <w:sz w:val="22"/>
              </w:rPr>
              <w:pBdr>
                <w:left w:val="none" w:color="000000" w:sz="4" w:space="0"/>
                <w:top w:val="none" w:color="000000" w:sz="4" w:space="0"/>
                <w:right w:val="none" w:color="000000" w:sz="4" w:space="0"/>
                <w:bottom w:val="none" w:color="000000" w:sz="4" w:space="0"/>
              </w:pBdr>
            </w:pPr>
            <w:r/>
            <w:r>
              <w:rPr>
                <w:rFonts w:ascii="Times New Roman" w:hAnsi="Times New Roman" w:cs="Times New Roman" w:eastAsia="Times New Roman"/>
                <w:color w:val="000000"/>
                <w:sz w:val="22"/>
              </w:rPr>
              <w:t xml:space="preserve">D – toutes les deux des flux</w:t>
            </w:r>
            <w:r/>
          </w:p>
        </w:tc>
      </w:tr>
      <w:tr>
        <w:trPr/>
        <w:tc>
          <w:tcPr>
            <w:tcBorders>
              <w:left w:val="single" w:color="000000" w:sz="6" w:space="0"/>
              <w:top w:val="none" w:color="000000" w:sz="4" w:space="0"/>
              <w:right w:val="none" w:color="000000" w:sz="4" w:space="0"/>
              <w:bottom w:val="single" w:color="000000" w:sz="6" w:space="0"/>
            </w:tcBorders>
            <w:tcMar>
              <w:left w:w="57" w:type="dxa"/>
              <w:top w:w="0" w:type="dxa"/>
              <w:right w:w="0" w:type="dxa"/>
              <w:bottom w:w="57" w:type="dxa"/>
            </w:tcMar>
            <w:tcW w:w="5584"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2"/>
              </w:rPr>
              <w:t xml:space="preserve">2) Le poids de la dette publique est :</w:t>
            </w:r>
            <w:r>
              <w:rPr>
                <w:sz w:val="24"/>
              </w:rPr>
            </w:r>
            <w:r/>
          </w:p>
          <w:p>
            <w:pPr>
              <w:ind w:left="0" w:right="0" w:firstLine="0"/>
              <w:jc w:val="both"/>
              <w:spacing w:lineRule="atLeast" w:line="276" w:after="0" w:before="240"/>
              <w:rPr>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A – deux fois plus élevé en Italie qu’en Allemagne en 2018</w:t>
            </w:r>
            <w:r>
              <w:rPr>
                <w:b/>
                <w:color w:val="FF0000"/>
              </w:rPr>
            </w:r>
          </w:p>
          <w:p>
            <w:pPr>
              <w:ind w:left="0" w:right="0" w:firstLine="0"/>
              <w:jc w:val="both"/>
              <w:spacing w:lineRule="atLeast" w:line="276" w:after="0" w:before="240"/>
              <w:rPr>
                <w:b/>
                <w:color w:val="000000" w:themeColor="text1"/>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B –  équivalent à 98,4 % du PIB en France en 2018</w:t>
            </w:r>
            <w:r>
              <w:rPr>
                <w:b/>
                <w:color w:val="FF0000"/>
                <w:sz w:val="24"/>
              </w:rPr>
            </w:r>
            <w:r>
              <w:rPr>
                <w:b/>
                <w:color w:val="000000" w:themeColor="text1"/>
              </w:rPr>
            </w:r>
          </w:p>
          <w:p>
            <w:pPr>
              <w:ind w:left="0" w:right="0" w:firstLine="0"/>
              <w:jc w:val="both"/>
              <w:spacing w:lineRule="atLeast" w:line="276" w:after="0" w:before="240"/>
              <w:rPr>
                <w:b w:val="false"/>
                <w:color w:val="000000" w:themeColor="text1"/>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000000" w:themeColor="text1"/>
                <w:sz w:val="22"/>
              </w:rPr>
              <w:t xml:space="preserve">C – en augmentation de 34,7 % entre 2006 et 2018 en France</w:t>
            </w:r>
            <w:r>
              <w:rPr>
                <w:b w:val="false"/>
                <w:color w:val="000000" w:themeColor="text1"/>
              </w:rPr>
            </w:r>
          </w:p>
          <w:p>
            <w:pPr>
              <w:ind w:left="0" w:right="0" w:firstLine="0"/>
              <w:jc w:val="both"/>
              <w:spacing w:lineRule="atLeast" w:line="276" w:after="142" w:before="240"/>
              <w:rPr>
                <w:color w:val="000000" w:themeColor="text1"/>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000000" w:themeColor="text1"/>
                <w:sz w:val="22"/>
              </w:rPr>
              <w:t xml:space="preserve">D – </w:t>
            </w:r>
            <w:r>
              <w:rPr>
                <w:rFonts w:ascii="Times New Roman" w:hAnsi="Times New Roman" w:cs="Times New Roman" w:eastAsia="Times New Roman"/>
                <w:b w:val="false"/>
                <w:color w:val="000000" w:themeColor="text1"/>
                <w:sz w:val="22"/>
              </w:rPr>
              <w:t xml:space="preserve"> est plus faible en Allemagne qu’en France en 2006</w:t>
            </w:r>
            <w:r>
              <w:rPr>
                <w:color w:val="000000" w:themeColor="text1"/>
              </w:rPr>
            </w:r>
          </w:p>
        </w:tc>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57" w:type="dxa"/>
            </w:tcMar>
            <w:tcW w:w="5102" w:type="dxa"/>
            <w:vAlign w:val="top"/>
            <w:textDirection w:val="lrTb"/>
            <w:noWrap w:val="false"/>
          </w:tcPr>
          <w:p>
            <w:pPr>
              <w:ind w:left="0" w:right="0" w:firstLine="0"/>
              <w:jc w:val="both"/>
              <w:spacing w:lineRule="atLeast" w:line="276" w:after="0" w:before="0"/>
              <w:rPr>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auto"/>
                <w:sz w:val="22"/>
              </w:rPr>
              <w:t xml:space="preserve">3) Le solde budgétaire de la France en 2006... :</w:t>
            </w:r>
            <w:r>
              <w:rPr>
                <w:color w:val="auto"/>
                <w:sz w:val="24"/>
              </w:rPr>
            </w:r>
            <w:r>
              <w:rPr>
                <w:color w:val="auto"/>
              </w:rPr>
            </w:r>
          </w:p>
          <w:p>
            <w:pPr>
              <w:ind w:left="0" w:right="0" w:firstLine="0"/>
              <w:jc w:val="both"/>
              <w:spacing w:lineRule="atLeast" w:line="276" w:after="0" w:before="240"/>
              <w:rPr>
                <w:b w:val="false"/>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auto"/>
                <w:sz w:val="22"/>
              </w:rPr>
              <w:t xml:space="preserve">A –  a baissé de 2,3 %</w:t>
            </w:r>
            <w:r>
              <w:rPr>
                <w:b w:val="false"/>
                <w:color w:val="auto"/>
              </w:rPr>
            </w:r>
          </w:p>
          <w:p>
            <w:pPr>
              <w:ind w:left="0" w:right="0" w:firstLine="0"/>
              <w:jc w:val="both"/>
              <w:spacing w:lineRule="atLeast" w:line="276" w:after="0" w:before="240"/>
              <w:rPr>
                <w:b w:val="false"/>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auto"/>
                <w:sz w:val="22"/>
              </w:rPr>
              <w:t xml:space="preserve">B –  a fait baisser le PIB de 2,3 %</w:t>
            </w:r>
            <w:r>
              <w:rPr>
                <w:b w:val="false"/>
                <w:color w:val="auto"/>
                <w:sz w:val="24"/>
              </w:rPr>
            </w:r>
            <w:r>
              <w:rPr>
                <w:b w:val="false"/>
                <w:color w:val="auto"/>
              </w:rPr>
            </w:r>
          </w:p>
          <w:p>
            <w:pPr>
              <w:ind w:left="0" w:right="0" w:firstLine="0"/>
              <w:jc w:val="both"/>
              <w:spacing w:lineRule="atLeast" w:line="276" w:after="0" w:before="240"/>
              <w:rPr>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C – </w:t>
            </w:r>
            <w:r>
              <w:rPr>
                <w:rFonts w:ascii="Times New Roman" w:hAnsi="Times New Roman" w:cs="Times New Roman" w:eastAsia="Times New Roman"/>
                <w:b/>
                <w:color w:val="FF0000"/>
                <w:sz w:val="22"/>
              </w:rPr>
              <w:t xml:space="preserve">équivaut à 2,3 % du PIB</w:t>
            </w:r>
            <w:r>
              <w:rPr>
                <w:b/>
                <w:color w:val="FF0000"/>
              </w:rPr>
            </w:r>
          </w:p>
          <w:p>
            <w:pPr>
              <w:ind w:left="0" w:right="0" w:firstLine="0"/>
              <w:jc w:val="both"/>
              <w:spacing w:lineRule="atLeast" w:line="276" w:after="142" w:before="240"/>
              <w:rPr>
                <w:b/>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D –  était déficitaire</w:t>
            </w:r>
            <w:r>
              <w:rPr>
                <w:b/>
                <w:color w:val="auto"/>
              </w:rPr>
            </w:r>
          </w:p>
        </w:tc>
      </w:tr>
      <w:tr>
        <w:trPr/>
        <w:tc>
          <w:tcPr>
            <w:tcBorders>
              <w:left w:val="single" w:color="000000" w:sz="6" w:space="0"/>
              <w:top w:val="none" w:color="000000" w:sz="4" w:space="0"/>
              <w:right w:val="none" w:color="000000" w:sz="4" w:space="0"/>
              <w:bottom w:val="single" w:color="000000" w:sz="6" w:space="0"/>
            </w:tcBorders>
            <w:tcMar>
              <w:left w:w="57" w:type="dxa"/>
              <w:top w:w="0" w:type="dxa"/>
              <w:right w:w="0" w:type="dxa"/>
              <w:bottom w:w="57" w:type="dxa"/>
            </w:tcMar>
            <w:tcW w:w="5584"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2"/>
              </w:rPr>
              <w:t xml:space="preserve">4) La dette publique d’un Etat de la zone euro  :</w:t>
            </w:r>
            <w:r>
              <w:rPr>
                <w:sz w:val="24"/>
              </w:rPr>
            </w:r>
            <w:r/>
          </w:p>
          <w:p>
            <w:pPr>
              <w:ind w:left="0" w:right="0" w:firstLine="0"/>
              <w:jc w:val="both"/>
              <w:spacing w:lineRule="atLeast" w:line="276" w:after="0" w:before="240"/>
              <w:rPr>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A –  est sous la contrainte des traités de l’UE</w:t>
            </w:r>
            <w:r>
              <w:rPr>
                <w:b/>
                <w:color w:val="FF0000"/>
                <w:sz w:val="24"/>
              </w:rPr>
            </w:r>
            <w:r>
              <w:rPr>
                <w:b/>
                <w:color w:val="FF0000"/>
              </w:rPr>
            </w:r>
          </w:p>
          <w:p>
            <w:pPr>
              <w:ind w:left="0" w:right="0" w:firstLine="0"/>
              <w:jc w:val="both"/>
              <w:spacing w:lineRule="atLeast" w:line="276" w:after="0" w:before="240"/>
              <w:rPr>
                <w:rFonts w:ascii="Times New Roman" w:hAnsi="Times New Roman" w:cs="Times New Roman" w:eastAsia="Times New Roman"/>
                <w:b/>
                <w:color w:val="000000"/>
                <w:sz w:val="22"/>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B –  dépendante des soldes budgétaires</w:t>
            </w:r>
            <w:r>
              <w:rPr>
                <w:b/>
              </w:rPr>
            </w:r>
          </w:p>
          <w:p>
            <w:pPr>
              <w:ind w:left="0" w:right="0" w:firstLine="0"/>
              <w:jc w:val="both"/>
              <w:spacing w:lineRule="atLeast" w:line="276" w:after="0" w:before="240"/>
              <w:rPr>
                <w:sz w:val="24"/>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2"/>
              </w:rPr>
            </w:r>
            <w:r>
              <w:rPr>
                <w:rFonts w:ascii="Times New Roman" w:hAnsi="Times New Roman" w:cs="Times New Roman" w:eastAsia="Times New Roman"/>
                <w:color w:val="000000"/>
                <w:sz w:val="22"/>
              </w:rPr>
              <w:t xml:space="preserve">C – fixée par la BCE</w:t>
            </w:r>
            <w:r/>
          </w:p>
          <w:p>
            <w:pPr>
              <w:ind w:left="0" w:right="0" w:firstLine="0"/>
              <w:jc w:val="left"/>
              <w:spacing w:lineRule="atLeast" w:line="276" w:after="142" w:before="240"/>
              <w:rPr>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000000" w:themeColor="text1"/>
                <w:sz w:val="22"/>
              </w:rPr>
              <w:t xml:space="preserve">D –  doit être remboursée avec un taux d’intérêt unique en Europe</w:t>
            </w:r>
            <w:r/>
          </w:p>
        </w:tc>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57" w:type="dxa"/>
            </w:tcMar>
            <w:tcW w:w="5102" w:type="dxa"/>
            <w:vAlign w:val="top"/>
            <w:textDirection w:val="lrTb"/>
            <w:noWrap w:val="false"/>
          </w:tcPr>
          <w:p>
            <w:pPr>
              <w:ind w:left="0" w:right="0" w:firstLine="0"/>
              <w:jc w:val="both"/>
              <w:spacing w:lineRule="atLeast" w:line="276" w:after="0" w:before="0"/>
              <w:rPr>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auto"/>
                <w:sz w:val="22"/>
              </w:rPr>
              <w:t xml:space="preserve">5) Les soldes budgétaires des pays de la zone euro... :</w:t>
            </w:r>
            <w:r>
              <w:rPr>
                <w:color w:val="auto"/>
                <w:sz w:val="24"/>
              </w:rPr>
            </w:r>
            <w:r>
              <w:rPr>
                <w:color w:val="auto"/>
              </w:rPr>
            </w:r>
          </w:p>
          <w:p>
            <w:pPr>
              <w:ind w:left="0" w:right="0" w:firstLine="0"/>
              <w:jc w:val="both"/>
              <w:spacing w:lineRule="atLeast" w:line="276" w:after="0" w:before="240"/>
              <w:rPr>
                <w:rFonts w:ascii="Times New Roman" w:hAnsi="Times New Roman" w:cs="Times New Roman" w:eastAsia="Times New Roman"/>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A –  sont sous la contrainte des traités de l’UE</w:t>
            </w:r>
            <w:r>
              <w:rPr>
                <w:rFonts w:ascii="Times New Roman" w:hAnsi="Times New Roman" w:cs="Times New Roman" w:eastAsia="Times New Roman"/>
                <w:b/>
                <w:color w:val="FF0000"/>
                <w:sz w:val="22"/>
              </w:rPr>
            </w:r>
            <w:r>
              <w:rPr>
                <w:b/>
                <w:color w:val="FF0000"/>
              </w:rPr>
            </w:r>
          </w:p>
          <w:p>
            <w:pPr>
              <w:ind w:left="0" w:right="0" w:firstLine="0"/>
              <w:jc w:val="both"/>
              <w:spacing w:lineRule="atLeast" w:line="276" w:after="0" w:before="240"/>
              <w:rPr>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r>
            <w:r>
              <w:rPr>
                <w:rFonts w:ascii="Times New Roman" w:hAnsi="Times New Roman" w:cs="Times New Roman" w:eastAsia="Times New Roman"/>
                <w:b/>
                <w:color w:val="FF0000"/>
                <w:sz w:val="22"/>
              </w:rPr>
              <w:t xml:space="preserve">B –  dépendants de la conjoncture économique</w:t>
            </w:r>
            <w:r>
              <w:rPr>
                <w:b/>
                <w:color w:val="FF0000"/>
              </w:rPr>
            </w:r>
          </w:p>
          <w:p>
            <w:pPr>
              <w:ind w:left="0" w:right="0" w:firstLine="0"/>
              <w:jc w:val="both"/>
              <w:spacing w:lineRule="atLeast" w:line="276" w:after="0" w:before="240"/>
              <w:rPr>
                <w:b/>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C – globalement déficitaires</w:t>
            </w:r>
            <w:r>
              <w:rPr>
                <w:b/>
                <w:color w:val="auto"/>
              </w:rPr>
            </w:r>
          </w:p>
          <w:p>
            <w:pPr>
              <w:ind w:left="0" w:right="0" w:firstLine="0"/>
              <w:jc w:val="both"/>
              <w:spacing w:lineRule="atLeast" w:line="276" w:after="142" w:before="240"/>
              <w:rPr>
                <w:b w:val="false"/>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auto"/>
                <w:sz w:val="22"/>
              </w:rPr>
              <w:t xml:space="preserve">D – sont exprimés dans la monnaie du pays</w:t>
            </w:r>
            <w:r>
              <w:rPr>
                <w:b w:val="false"/>
                <w:color w:val="auto"/>
              </w:rPr>
            </w:r>
          </w:p>
        </w:tc>
      </w:tr>
    </w:tbl>
    <w:p>
      <w:pPr>
        <w:rPr>
          <w:rFonts w:ascii="Times New Roman" w:hAnsi="Times New Roman" w:cs="Times New Roman" w:eastAsia="Times New Roman"/>
          <w:color w:val="000000"/>
          <w:sz w:val="24"/>
          <w:highlight w:val="none"/>
        </w:rP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shd w:val="nil"/>
        <w:rPr>
          <w:rFonts w:ascii="Times New Roman" w:hAnsi="Times New Roman" w:cs="Times New Roman" w:eastAsia="Times New Roman"/>
          <w:color w:val="000000"/>
          <w:sz w:val="24"/>
          <w:highlight w:val="none"/>
        </w:rPr>
      </w:pPr>
      <w:r>
        <w:rPr>
          <w:rFonts w:ascii="Times New Roman" w:hAnsi="Times New Roman" w:cs="Times New Roman" w:eastAsia="Times New Roman"/>
          <w:color w:val="000000"/>
          <w:sz w:val="24"/>
          <w:highlight w:val="none"/>
        </w:rPr>
        <w:br w:type="page"/>
      </w:r>
      <w:r>
        <w:rPr>
          <w:rFonts w:ascii="Times New Roman" w:hAnsi="Times New Roman" w:cs="Times New Roman" w:eastAsia="Times New Roman"/>
          <w:color w:val="000000"/>
          <w:sz w:val="24"/>
          <w:highlight w:val="none"/>
        </w:rPr>
      </w:r>
    </w:p>
    <w:p>
      <w:pPr>
        <w:jc w:val="center"/>
      </w:pPr>
      <w:r>
        <w:rPr>
          <w:b/>
        </w:rPr>
        <w:t xml:space="preserve">Chapitre - Quelles politiques économiques dans le cadre européen ?</w:t>
      </w:r>
      <w:r/>
      <w:r/>
    </w:p>
    <w:p>
      <w:pPr>
        <w:ind w:left="-992" w:right="0" w:firstLine="992"/>
        <w:rPr>
          <w:rFonts w:ascii="Times New Roman" w:hAnsi="Times New Roman" w:cs="Times New Roman" w:eastAsia="Times New Roman"/>
          <w:color w:val="000000"/>
          <w:highlight w:val="none"/>
        </w:rPr>
      </w:pPr>
      <w:r>
        <w:rPr>
          <w:highlight w:val="lightGray"/>
        </w:rPr>
        <w:t xml:space="preserve">Objectif d’apprentissage évalué </w:t>
      </w:r>
      <w:r>
        <w:t xml:space="preserve">: </w:t>
      </w:r>
      <w:r>
        <w:rPr>
          <w:rFonts w:ascii="Times New Roman" w:hAnsi="Times New Roman" w:cs="Times New Roman" w:eastAsia="Times New Roman"/>
          <w:color w:val="000000"/>
          <w:sz w:val="24"/>
        </w:rPr>
        <w:t xml:space="preserve">Savoir que la politique monétaire dans la zone euro, conduite de façon indépendante par la Banque centrale européenne, est unique alors que la politique budgétaire est du ressort de chaque pays membre mais contrainte par les traités européens ;</w:t>
      </w:r>
      <w:r>
        <w:rPr>
          <w:rFonts w:ascii="Times New Roman" w:hAnsi="Times New Roman" w:cs="Times New Roman" w:eastAsia="Times New Roman"/>
          <w:color w:val="000000"/>
          <w:sz w:val="24"/>
          <w:highlight w:val="none"/>
        </w:rPr>
      </w:r>
      <w:r/>
    </w:p>
    <w:p>
      <w:pPr>
        <w:ind w:left="-992" w:right="0" w:firstLine="992"/>
        <w:rPr>
          <w:highlight w:val="none"/>
        </w:rPr>
      </w:pPr>
      <w:r>
        <w:rPr>
          <w:rFonts w:ascii="Times New Roman" w:hAnsi="Times New Roman" w:cs="Times New Roman" w:eastAsia="Times New Roman"/>
          <w:color w:val="000000"/>
          <w:sz w:val="24"/>
          <w:highlight w:val="none"/>
        </w:rPr>
      </w:r>
      <w:r>
        <mc:AlternateContent>
          <mc:Choice Requires="wpg">
            <w:drawing>
              <wp:inline xmlns:wp="http://schemas.openxmlformats.org/drawingml/2006/wordprocessingDrawing" distT="0" distB="0" distL="0" distR="0">
                <wp:extent cx="4350090" cy="2879558"/>
                <wp:effectExtent l="0" t="0" r="0" b="0"/>
                <wp:docPr id="2"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86535" name="" hidden="0"/>
                        <pic:cNvPicPr>
                          <a:picLocks noChangeAspect="1"/>
                        </pic:cNvPicPr>
                        <pic:nvPr isPhoto="0" userDrawn="0"/>
                      </pic:nvPicPr>
                      <pic:blipFill>
                        <a:blip r:embed="rId10"/>
                        <a:stretch/>
                      </pic:blipFill>
                      <pic:spPr bwMode="auto">
                        <a:xfrm flipH="0" flipV="0">
                          <a:off x="0" y="0"/>
                          <a:ext cx="4350089" cy="287955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342.5pt;height:226.7pt;" stroked="false">
                <v:path textboxrect="0,0,0,0"/>
                <v:imagedata r:id="rId10" o:title=""/>
              </v:shape>
            </w:pict>
          </mc:Fallback>
        </mc:AlternateContent>
      </w:r>
      <w:r>
        <w:rPr>
          <w:rFonts w:ascii="Times New Roman" w:hAnsi="Times New Roman" w:cs="Times New Roman" w:eastAsia="Times New Roman"/>
          <w:color w:val="000000"/>
          <w:sz w:val="24"/>
          <w:highlight w:val="none"/>
        </w:rPr>
      </w:r>
      <w:r/>
      <w:r>
        <w:rPr>
          <w:rFonts w:ascii="Times New Roman" w:hAnsi="Times New Roman" w:cs="Times New Roman" w:eastAsia="Times New Roman"/>
          <w:color w:val="000000"/>
          <w:sz w:val="24"/>
          <w:highlight w:val="none"/>
        </w:rPr>
      </w:r>
      <w:r/>
      <w:r>
        <w:rPr>
          <w:rFonts w:ascii="Times New Roman" w:hAnsi="Times New Roman" w:cs="Times New Roman" w:eastAsia="Times New Roman"/>
          <w:color w:val="000000"/>
          <w:sz w:val="24"/>
          <w:highlight w:val="none"/>
        </w:rPr>
      </w:r>
      <w:r/>
      <w:r>
        <w:rPr>
          <w:rFonts w:ascii="Times New Roman" w:hAnsi="Times New Roman" w:cs="Times New Roman" w:eastAsia="Times New Roman"/>
          <w:color w:val="000000"/>
          <w:sz w:val="24"/>
          <w:highlight w:val="none"/>
        </w:rPr>
      </w:r>
      <w:r/>
      <w:r>
        <w:rPr>
          <w:rFonts w:ascii="Times New Roman" w:hAnsi="Times New Roman" w:cs="Times New Roman" w:eastAsia="Times New Roman"/>
          <w:color w:val="000000"/>
          <w:sz w:val="24"/>
          <w:highlight w:val="none"/>
        </w:rPr>
      </w:r>
      <w:r/>
    </w:p>
    <w:tbl>
      <w:tblPr>
        <w:tblStyle w:val="46"/>
        <w:tblW w:w="0" w:type="auto"/>
        <w:tblInd w:w="-1077"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fixed"/>
        <w:tblLook w:val="04A0" w:firstRow="1" w:lastRow="0" w:firstColumn="1" w:lastColumn="0" w:noHBand="0" w:noVBand="1"/>
      </w:tblPr>
      <w:tblGrid>
        <w:gridCol w:w="5584"/>
        <w:gridCol w:w="5102"/>
      </w:tblGrid>
      <w:tr>
        <w:trPr/>
        <w:tc>
          <w:tcPr>
            <w:tcBorders>
              <w:left w:val="single" w:color="000000" w:sz="6" w:space="0"/>
              <w:top w:val="single" w:color="000000" w:sz="6" w:space="0"/>
              <w:right w:val="none" w:color="000000" w:sz="4" w:space="0"/>
              <w:bottom w:val="single" w:color="000000" w:sz="6" w:space="0"/>
            </w:tcBorders>
            <w:tcMar>
              <w:left w:w="57" w:type="dxa"/>
              <w:top w:w="57" w:type="dxa"/>
              <w:right w:w="0" w:type="dxa"/>
              <w:bottom w:w="57" w:type="dxa"/>
            </w:tcMar>
            <w:tcW w:w="5584"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2"/>
              </w:rPr>
              <w:t xml:space="preserve">Voici le barème :</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i/>
                <w:color w:val="000000"/>
                <w:sz w:val="22"/>
              </w:rPr>
              <w:t xml:space="preserve">&gt;&gt;&gt; 2 points si bonne(s) réponse(s) complète(s) </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i/>
                <w:color w:val="000000"/>
                <w:sz w:val="22"/>
              </w:rPr>
              <w:t xml:space="preserve">&gt;&gt;&gt; 1 point si bonnes réponses incomplètes (1/2, 2/3 ou 3/4)</w:t>
            </w:r>
            <w:r>
              <w:rPr>
                <w:sz w:val="24"/>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i/>
                <w:color w:val="000000"/>
                <w:sz w:val="22"/>
              </w:rPr>
              <w:t xml:space="preserve">&gt;&gt;&gt; - 1 point si erreur ou si mauvaise réponse </w:t>
            </w:r>
            <w:r>
              <w:rPr>
                <w:sz w:val="24"/>
              </w:rPr>
            </w:r>
            <w:r/>
          </w:p>
          <w:p>
            <w:pPr>
              <w:ind w:left="0" w:right="0" w:firstLine="0"/>
              <w:jc w:val="both"/>
              <w:spacing w:lineRule="atLeast" w:line="276" w:after="142"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i/>
                <w:color w:val="000000"/>
                <w:sz w:val="22"/>
              </w:rPr>
              <w:t xml:space="preserve">&gt;&gt;&gt; 0 point si pas de réponse</w:t>
            </w:r>
            <w:r>
              <w:rPr>
                <w:sz w:val="24"/>
              </w:rPr>
            </w:r>
            <w:r/>
          </w:p>
        </w:tc>
        <w:tc>
          <w:tcPr>
            <w:tcBorders>
              <w:left w:val="single" w:color="000000" w:sz="6" w:space="0"/>
              <w:top w:val="single" w:color="000000" w:sz="6" w:space="0"/>
              <w:right w:val="single" w:color="000000" w:sz="6" w:space="0"/>
              <w:bottom w:val="single" w:color="000000" w:sz="6" w:space="0"/>
            </w:tcBorders>
            <w:tcMar>
              <w:left w:w="57" w:type="dxa"/>
              <w:top w:w="57" w:type="dxa"/>
              <w:right w:w="57" w:type="dxa"/>
              <w:bottom w:w="57" w:type="dxa"/>
            </w:tcMar>
            <w:tcW w:w="5102"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2"/>
              </w:rPr>
              <w:t xml:space="preserve">1) Que signifie la donnée « 14,3 » du document :</w:t>
            </w:r>
            <w:r>
              <w:rPr>
                <w:sz w:val="24"/>
              </w:rPr>
            </w:r>
            <w:r/>
          </w:p>
          <w:p>
            <w:pPr>
              <w:ind w:left="0" w:right="0" w:firstLine="0"/>
              <w:jc w:val="both"/>
              <w:spacing w:lineRule="atLeast" w:line="276" w:after="0" w:before="240"/>
              <w:rPr>
                <w:rFonts w:ascii="Times New Roman" w:hAnsi="Times New Roman" w:cs="Times New Roman" w:eastAsia="Times New Roman"/>
                <w:color w:val="00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2"/>
              </w:rPr>
              <w:t xml:space="preserve">A – En 2019 le nombre de chômeurs a augmenté de 14,3 %</w:t>
            </w:r>
            <w:r>
              <w:rPr>
                <w:rFonts w:ascii="Times New Roman" w:hAnsi="Times New Roman" w:cs="Times New Roman" w:eastAsia="Times New Roman"/>
                <w:color w:val="000000"/>
                <w:sz w:val="22"/>
              </w:rPr>
            </w:r>
            <w:r/>
          </w:p>
          <w:p>
            <w:pPr>
              <w:ind w:left="0" w:right="0" w:firstLine="0"/>
              <w:jc w:val="both"/>
              <w:spacing w:lineRule="atLeast" w:line="276"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2"/>
              </w:rPr>
              <w:t xml:space="preserve">B –</w:t>
            </w:r>
            <w:r>
              <w:rPr>
                <w:rFonts w:ascii="Times New Roman" w:hAnsi="Times New Roman" w:cs="Times New Roman" w:eastAsia="Times New Roman"/>
                <w:color w:val="000000"/>
                <w:sz w:val="22"/>
              </w:rPr>
              <w:t xml:space="preserve">  En 2019 sur 100 personnes, 14,3 sont au chômage</w:t>
            </w:r>
            <w:r/>
            <w:r/>
          </w:p>
          <w:p>
            <w:pPr>
              <w:ind w:left="0" w:right="0" w:firstLine="0"/>
              <w:jc w:val="both"/>
              <w:spacing w:lineRule="atLeast" w:line="276" w:after="0" w:before="240"/>
              <w:rPr>
                <w:b/>
                <w:color w:val="FF0000"/>
              </w:rPr>
              <w:pBdr>
                <w:left w:val="none" w:color="000000" w:sz="4" w:space="0"/>
                <w:top w:val="none" w:color="000000" w:sz="4" w:space="0"/>
                <w:right w:val="none" w:color="000000" w:sz="4" w:space="0"/>
                <w:bottom w:val="none" w:color="000000" w:sz="4" w:space="0"/>
              </w:pBdr>
            </w:pPr>
            <w:r>
              <w:rPr>
                <w:b/>
                <w:color w:val="FF0000"/>
              </w:rPr>
            </w:r>
            <w:r>
              <w:rPr>
                <w:rFonts w:ascii="Times New Roman" w:hAnsi="Times New Roman" w:cs="Times New Roman" w:eastAsia="Times New Roman"/>
                <w:b/>
                <w:color w:val="FF0000"/>
                <w:sz w:val="22"/>
              </w:rPr>
              <w:t xml:space="preserve">C –  En 2019 sur 100 actifs, 14,3 sont au chômage </w:t>
            </w:r>
            <w:r>
              <w:rPr>
                <w:b/>
                <w:color w:val="FF0000"/>
              </w:rPr>
            </w:r>
            <w:r>
              <w:rPr>
                <w:b/>
                <w:color w:val="FF0000"/>
              </w:rPr>
            </w:r>
          </w:p>
          <w:p>
            <w:pPr>
              <w:ind w:left="0" w:right="0" w:firstLine="0"/>
              <w:jc w:val="both"/>
              <w:spacing w:lineRule="atLeast" w:line="276" w:after="0" w:before="240"/>
              <w:rPr>
                <w:rFonts w:ascii="Times New Roman" w:hAnsi="Times New Roman" w:cs="Times New Roman" w:eastAsia="Times New Roman"/>
                <w:color w:val="000000"/>
              </w:rPr>
              <w:pBdr>
                <w:left w:val="none" w:color="000000" w:sz="4" w:space="0"/>
                <w:top w:val="none" w:color="000000" w:sz="4" w:space="0"/>
                <w:right w:val="none" w:color="000000" w:sz="4" w:space="0"/>
                <w:bottom w:val="none" w:color="000000" w:sz="4" w:space="0"/>
              </w:pBdr>
            </w:pPr>
            <w:r/>
            <w:r>
              <w:rPr>
                <w:rFonts w:ascii="Times New Roman" w:hAnsi="Times New Roman" w:cs="Times New Roman" w:eastAsia="Times New Roman"/>
                <w:color w:val="000000"/>
                <w:sz w:val="22"/>
              </w:rPr>
              <w:t xml:space="preserve">D – En 2019 sur 100 actifs occupés, 14,3 sont au chômage.</w:t>
            </w:r>
            <w:r>
              <w:rPr>
                <w:rFonts w:ascii="Times New Roman" w:hAnsi="Times New Roman" w:cs="Times New Roman" w:eastAsia="Times New Roman"/>
                <w:color w:val="000000"/>
                <w:sz w:val="22"/>
              </w:rPr>
            </w:r>
            <w:r/>
          </w:p>
        </w:tc>
      </w:tr>
      <w:tr>
        <w:trPr/>
        <w:tc>
          <w:tcPr>
            <w:tcBorders>
              <w:left w:val="single" w:color="000000" w:sz="6" w:space="0"/>
              <w:top w:val="none" w:color="000000" w:sz="4" w:space="0"/>
              <w:right w:val="none" w:color="000000" w:sz="4" w:space="0"/>
              <w:bottom w:val="single" w:color="000000" w:sz="6" w:space="0"/>
            </w:tcBorders>
            <w:tcMar>
              <w:left w:w="57" w:type="dxa"/>
              <w:top w:w="0" w:type="dxa"/>
              <w:right w:w="0" w:type="dxa"/>
              <w:bottom w:w="57" w:type="dxa"/>
            </w:tcMar>
            <w:tcW w:w="5584"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2"/>
              </w:rPr>
              <w:t xml:space="preserve">2) En 2019, l’objectif prioritaire de la politique monétaire  :</w:t>
            </w:r>
            <w:r>
              <w:rPr>
                <w:sz w:val="24"/>
              </w:rPr>
            </w:r>
            <w:r/>
          </w:p>
          <w:p>
            <w:pPr>
              <w:ind w:left="0" w:right="0" w:firstLine="0"/>
              <w:jc w:val="both"/>
              <w:spacing w:lineRule="atLeast" w:line="276" w:after="0" w:before="240"/>
              <w:rPr>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A – a permis une convergence des taux d’inflation</w:t>
            </w:r>
            <w:r>
              <w:rPr>
                <w:b/>
                <w:color w:val="FF0000"/>
                <w:sz w:val="24"/>
              </w:rPr>
            </w:r>
            <w:r>
              <w:rPr>
                <w:b/>
                <w:color w:val="FF0000"/>
              </w:rPr>
            </w:r>
          </w:p>
          <w:p>
            <w:pPr>
              <w:ind w:left="0" w:right="0" w:firstLine="0"/>
              <w:jc w:val="both"/>
              <w:spacing w:lineRule="atLeast" w:line="276" w:after="0" w:before="240"/>
              <w:rPr>
                <w:b w:val="false"/>
                <w:color w:val="000000" w:themeColor="text1"/>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000000" w:themeColor="text1"/>
                <w:sz w:val="22"/>
              </w:rPr>
              <w:t xml:space="preserve">B – a permis de lutter contre le chômage</w:t>
            </w:r>
            <w:r>
              <w:rPr>
                <w:b w:val="false"/>
                <w:color w:val="000000" w:themeColor="text1"/>
                <w:sz w:val="24"/>
              </w:rPr>
            </w:r>
            <w:r>
              <w:rPr>
                <w:b w:val="false"/>
                <w:color w:val="000000" w:themeColor="text1"/>
              </w:rPr>
            </w:r>
          </w:p>
          <w:p>
            <w:pPr>
              <w:ind w:left="0" w:right="0" w:firstLine="0"/>
              <w:jc w:val="both"/>
              <w:spacing w:lineRule="atLeast" w:line="276" w:after="0" w:before="240"/>
              <w:rPr>
                <w:b w:val="false"/>
                <w:color w:val="000000" w:themeColor="text1"/>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000000" w:themeColor="text1"/>
                <w:sz w:val="22"/>
              </w:rPr>
              <w:t xml:space="preserve">C – a permis d’harmoniser les taux de croissance des pays membres</w:t>
            </w:r>
            <w:r>
              <w:rPr>
                <w:b w:val="false"/>
                <w:color w:val="000000" w:themeColor="text1"/>
                <w:sz w:val="24"/>
              </w:rPr>
            </w:r>
            <w:r>
              <w:rPr>
                <w:b w:val="false"/>
                <w:color w:val="000000" w:themeColor="text1"/>
              </w:rPr>
            </w:r>
          </w:p>
          <w:p>
            <w:pPr>
              <w:ind w:left="0" w:right="0" w:firstLine="0"/>
              <w:jc w:val="both"/>
              <w:spacing w:lineRule="atLeast" w:line="276" w:after="142" w:before="240"/>
              <w:rPr>
                <w:b w:val="false"/>
                <w:color w:val="000000" w:themeColor="text1"/>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000000" w:themeColor="text1"/>
                <w:sz w:val="22"/>
              </w:rPr>
              <w:t xml:space="preserve">D – a permis de limiter l’inflation en Pologne</w:t>
            </w:r>
            <w:r>
              <w:rPr>
                <w:b w:val="false"/>
                <w:color w:val="000000" w:themeColor="text1"/>
                <w:sz w:val="24"/>
              </w:rPr>
            </w:r>
            <w:r>
              <w:rPr>
                <w:b w:val="false"/>
                <w:color w:val="000000" w:themeColor="text1"/>
              </w:rPr>
            </w:r>
          </w:p>
        </w:tc>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57" w:type="dxa"/>
            </w:tcMar>
            <w:tcW w:w="5102"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2"/>
              </w:rPr>
              <w:t xml:space="preserve">3) Que signifie la donnée « 4,1 » du document :</w:t>
            </w:r>
            <w:r>
              <w:rPr>
                <w:sz w:val="24"/>
              </w:rPr>
            </w:r>
            <w:r/>
          </w:p>
          <w:p>
            <w:pPr>
              <w:ind w:left="0" w:right="0" w:firstLine="0"/>
              <w:jc w:val="both"/>
              <w:spacing w:lineRule="atLeast" w:line="276" w:after="0" w:before="240"/>
              <w:rPr>
                <w:b w:val="false"/>
                <w:color w:val="000000" w:themeColor="text1"/>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000000" w:themeColor="text1"/>
                <w:sz w:val="22"/>
              </w:rPr>
              <w:t xml:space="preserve">A – En 2019, le taux d’inflation en Roumanie a augmenté de 4,1 %</w:t>
            </w:r>
            <w:r>
              <w:rPr>
                <w:b w:val="false"/>
                <w:color w:val="000000" w:themeColor="text1"/>
                <w:sz w:val="24"/>
              </w:rPr>
            </w:r>
            <w:r>
              <w:rPr>
                <w:b w:val="false"/>
                <w:color w:val="000000" w:themeColor="text1"/>
              </w:rPr>
            </w:r>
          </w:p>
          <w:p>
            <w:pPr>
              <w:ind w:left="0" w:right="0" w:firstLine="0"/>
              <w:jc w:val="both"/>
              <w:spacing w:lineRule="atLeast" w:line="276" w:after="0" w:before="240"/>
              <w:rPr>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000000" w:themeColor="text1"/>
                <w:sz w:val="22"/>
              </w:rPr>
              <w:t xml:space="preserve">B –  En 2019, le taux d’inflation s’élevait à 4,1 %</w:t>
            </w:r>
            <w:r>
              <w:rPr>
                <w:b/>
                <w:color w:val="FF0000"/>
                <w:sz w:val="24"/>
              </w:rPr>
            </w:r>
            <w:r>
              <w:rPr>
                <w:b/>
                <w:color w:val="FF0000"/>
              </w:rPr>
            </w:r>
          </w:p>
          <w:p>
            <w:pPr>
              <w:ind w:left="0" w:right="0" w:firstLine="0"/>
              <w:jc w:val="both"/>
              <w:spacing w:lineRule="atLeast" w:line="276" w:after="0" w:before="240"/>
              <w:rPr>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C – </w:t>
            </w:r>
            <w:r>
              <w:rPr>
                <w:rFonts w:ascii="Times New Roman" w:hAnsi="Times New Roman" w:cs="Times New Roman" w:eastAsia="Times New Roman"/>
                <w:b/>
                <w:color w:val="FF0000"/>
                <w:sz w:val="22"/>
              </w:rPr>
              <w:t xml:space="preserve"> En 2019, les prix à la consommation en Roumanie ont progressé de 4,1 %</w:t>
            </w:r>
            <w:r>
              <w:rPr>
                <w:b/>
                <w:color w:val="FF0000"/>
                <w:sz w:val="24"/>
              </w:rPr>
            </w:r>
            <w:r>
              <w:rPr>
                <w:b/>
                <w:color w:val="FF0000"/>
              </w:rPr>
            </w:r>
          </w:p>
          <w:p>
            <w:pPr>
              <w:ind w:left="0" w:right="0" w:firstLine="0"/>
              <w:jc w:val="both"/>
              <w:spacing w:lineRule="atLeast" w:line="276" w:after="142" w:before="240"/>
              <w:tabs>
                <w:tab w:val="left" w:pos="622" w:leader="none"/>
              </w:tabs>
              <w:rPr>
                <w:b w:val="false"/>
                <w:color w:val="000000" w:themeColor="text1"/>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000000" w:themeColor="text1"/>
                <w:sz w:val="22"/>
              </w:rPr>
              <w:t xml:space="preserve">D –  </w:t>
            </w:r>
            <w:r>
              <w:rPr>
                <w:rFonts w:ascii="Times New Roman" w:hAnsi="Times New Roman" w:cs="Times New Roman" w:eastAsia="Times New Roman"/>
                <w:b w:val="false"/>
                <w:color w:val="000000" w:themeColor="text1"/>
                <w:sz w:val="22"/>
              </w:rPr>
              <w:t xml:space="preserve">En 2019, l’inflation en Roumanie a évolué de 4,1%</w:t>
            </w:r>
            <w:r>
              <w:rPr>
                <w:b w:val="false"/>
                <w:color w:val="000000" w:themeColor="text1"/>
              </w:rPr>
            </w:r>
            <w:r>
              <w:rPr>
                <w:b w:val="false"/>
                <w:color w:val="000000" w:themeColor="text1"/>
              </w:rPr>
            </w:r>
          </w:p>
        </w:tc>
      </w:tr>
      <w:tr>
        <w:trPr/>
        <w:tc>
          <w:tcPr>
            <w:tcBorders>
              <w:left w:val="single" w:color="000000" w:sz="6" w:space="0"/>
              <w:top w:val="none" w:color="000000" w:sz="4" w:space="0"/>
              <w:right w:val="none" w:color="000000" w:sz="4" w:space="0"/>
              <w:bottom w:val="single" w:color="000000" w:sz="6" w:space="0"/>
            </w:tcBorders>
            <w:tcMar>
              <w:left w:w="57" w:type="dxa"/>
              <w:top w:w="0" w:type="dxa"/>
              <w:right w:w="0" w:type="dxa"/>
              <w:bottom w:w="57" w:type="dxa"/>
            </w:tcMar>
            <w:tcW w:w="5584" w:type="dxa"/>
            <w:vAlign w:val="top"/>
            <w:textDirection w:val="lrTb"/>
            <w:noWrap w:val="false"/>
          </w:tcPr>
          <w:p>
            <w:pPr>
              <w:ind w:left="0" w:right="0" w:firstLine="0"/>
              <w:jc w:val="both"/>
              <w:spacing w:lineRule="atLeast" w:line="276"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2"/>
              </w:rPr>
              <w:t xml:space="preserve">4) Le taux de croissance économique  :</w:t>
            </w:r>
            <w:r>
              <w:rPr>
                <w:sz w:val="24"/>
              </w:rPr>
            </w:r>
            <w:r/>
          </w:p>
          <w:p>
            <w:pPr>
              <w:ind w:left="0" w:right="0" w:firstLine="0"/>
              <w:jc w:val="both"/>
              <w:spacing w:lineRule="atLeast" w:line="276" w:after="0" w:before="240"/>
              <w:rPr>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A –</w:t>
            </w:r>
            <w:r>
              <w:rPr>
                <w:rFonts w:ascii="Times New Roman" w:hAnsi="Times New Roman" w:cs="Times New Roman" w:eastAsia="Times New Roman"/>
                <w:b/>
                <w:color w:val="000000"/>
                <w:sz w:val="22"/>
              </w:rPr>
              <w:t xml:space="preserve"> </w:t>
            </w:r>
            <w:r>
              <w:rPr>
                <w:rFonts w:ascii="Times New Roman" w:hAnsi="Times New Roman" w:cs="Times New Roman" w:eastAsia="Times New Roman"/>
                <w:b/>
                <w:color w:val="FF0000"/>
                <w:sz w:val="22"/>
              </w:rPr>
              <w:t xml:space="preserve">de l’Italie est le plus faible de la zone euro en 2018</w:t>
            </w:r>
            <w:r>
              <w:rPr>
                <w:b/>
                <w:color w:val="FF0000"/>
                <w:sz w:val="24"/>
              </w:rPr>
            </w:r>
            <w:r>
              <w:rPr>
                <w:b/>
                <w:color w:val="FF0000"/>
              </w:rPr>
            </w:r>
          </w:p>
          <w:p>
            <w:pPr>
              <w:ind w:left="0" w:right="0" w:firstLine="0"/>
              <w:jc w:val="both"/>
              <w:spacing w:lineRule="atLeast" w:line="276" w:after="0" w:before="240"/>
              <w:rPr>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B –  est plus élevé en dehors de la zone euro</w:t>
            </w:r>
            <w:r>
              <w:rPr>
                <w:b/>
                <w:color w:val="FF0000"/>
                <w:sz w:val="24"/>
              </w:rPr>
            </w:r>
            <w:r>
              <w:rPr>
                <w:b/>
                <w:color w:val="FF0000"/>
              </w:rPr>
            </w:r>
          </w:p>
          <w:p>
            <w:pPr>
              <w:ind w:left="0" w:right="0" w:firstLine="0"/>
              <w:jc w:val="both"/>
              <w:spacing w:lineRule="atLeast" w:line="276" w:after="0" w:before="240"/>
              <w:rPr>
                <w:b w:val="false"/>
                <w:color w:val="000000" w:themeColor="text1"/>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000000" w:themeColor="text1"/>
                <w:sz w:val="22"/>
              </w:rPr>
              <w:t xml:space="preserve">C – a augmenté de 1,7 % en France en 2018</w:t>
            </w:r>
            <w:r>
              <w:rPr>
                <w:b w:val="false"/>
                <w:color w:val="000000" w:themeColor="text1"/>
                <w:sz w:val="24"/>
              </w:rPr>
            </w:r>
            <w:r>
              <w:rPr>
                <w:b w:val="false"/>
                <w:color w:val="000000" w:themeColor="text1"/>
              </w:rPr>
            </w:r>
          </w:p>
          <w:p>
            <w:pPr>
              <w:ind w:left="0" w:right="0" w:firstLine="0"/>
              <w:jc w:val="both"/>
              <w:spacing w:lineRule="atLeast" w:line="276" w:after="142" w:before="240"/>
              <w:rPr>
                <w:b w:val="false"/>
                <w:color w:val="000000" w:themeColor="text1"/>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D –</w:t>
            </w:r>
            <w:r>
              <w:rPr>
                <w:rFonts w:ascii="Times New Roman" w:hAnsi="Times New Roman" w:cs="Times New Roman" w:eastAsia="Times New Roman"/>
                <w:b/>
                <w:color w:val="FF0000"/>
                <w:sz w:val="22"/>
              </w:rPr>
              <w:t xml:space="preserve"> </w:t>
            </w:r>
            <w:r>
              <w:rPr>
                <w:rFonts w:ascii="Times New Roman" w:hAnsi="Times New Roman" w:cs="Times New Roman" w:eastAsia="Times New Roman"/>
                <w:b/>
                <w:color w:val="FF0000"/>
                <w:sz w:val="22"/>
              </w:rPr>
              <w:t xml:space="preserve">de la France est inférieur de 0,2 points à celui de la zone euro</w:t>
            </w:r>
            <w:r>
              <w:rPr>
                <w:b w:val="false"/>
                <w:color w:val="000000" w:themeColor="text1"/>
                <w:sz w:val="24"/>
              </w:rPr>
            </w:r>
            <w:r>
              <w:rPr>
                <w:b w:val="false"/>
                <w:color w:val="000000" w:themeColor="text1"/>
              </w:rPr>
            </w:r>
          </w:p>
        </w:tc>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57" w:type="dxa"/>
            </w:tcMar>
            <w:tcW w:w="5102" w:type="dxa"/>
            <w:vAlign w:val="top"/>
            <w:textDirection w:val="lrTb"/>
            <w:noWrap w:val="false"/>
          </w:tcPr>
          <w:p>
            <w:pPr>
              <w:ind w:left="0" w:right="0" w:firstLine="0"/>
              <w:jc w:val="both"/>
              <w:spacing w:lineRule="atLeast" w:line="276" w:after="0" w:before="0"/>
              <w:rPr>
                <w:color w:val="auto"/>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auto"/>
                <w:sz w:val="22"/>
              </w:rPr>
              <w:t xml:space="preserve">5) Le taux d’inflation en :</w:t>
            </w:r>
            <w:r>
              <w:rPr>
                <w:color w:val="auto"/>
                <w:sz w:val="24"/>
              </w:rPr>
            </w:r>
            <w:r/>
          </w:p>
          <w:p>
            <w:pPr>
              <w:ind w:left="0" w:right="0" w:firstLine="0"/>
              <w:jc w:val="both"/>
              <w:spacing w:lineRule="atLeast" w:line="276" w:after="0" w:before="240"/>
              <w:rPr>
                <w:rFonts w:ascii="Times New Roman" w:hAnsi="Times New Roman" w:cs="Times New Roman" w:eastAsia="Times New Roman"/>
                <w:color w:val="00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val="false"/>
                <w:color w:val="000000" w:themeColor="text1"/>
                <w:sz w:val="22"/>
              </w:rPr>
              <w:t xml:space="preserve">A –   France est supérieur de 0,2 % à celui de l’Allemagne</w:t>
            </w:r>
            <w:r>
              <w:rPr>
                <w:rFonts w:ascii="Times New Roman" w:hAnsi="Times New Roman" w:cs="Times New Roman" w:eastAsia="Times New Roman"/>
                <w:b w:val="false"/>
                <w:color w:val="000000" w:themeColor="text1"/>
                <w:sz w:val="22"/>
              </w:rPr>
            </w:r>
            <w:r/>
          </w:p>
          <w:p>
            <w:pPr>
              <w:ind w:left="0" w:right="0" w:firstLine="0"/>
              <w:jc w:val="both"/>
              <w:spacing w:lineRule="atLeast" w:line="276" w:after="0" w:before="240"/>
              <w:rPr>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r>
            <w:r>
              <w:rPr>
                <w:rFonts w:ascii="Times New Roman" w:hAnsi="Times New Roman" w:cs="Times New Roman" w:eastAsia="Times New Roman"/>
                <w:b/>
                <w:color w:val="FF0000"/>
                <w:sz w:val="22"/>
              </w:rPr>
              <w:t xml:space="preserve">B – France est supérieur de 0,2 point à celui de l’Allemagne</w:t>
            </w:r>
            <w:r>
              <w:rPr>
                <w:b/>
                <w:color w:val="FF0000"/>
                <w:sz w:val="24"/>
              </w:rPr>
            </w:r>
            <w:r>
              <w:rPr>
                <w:b/>
                <w:color w:val="FF0000"/>
              </w:rPr>
            </w:r>
          </w:p>
          <w:p>
            <w:pPr>
              <w:ind w:left="0" w:right="0" w:firstLine="0"/>
              <w:jc w:val="both"/>
              <w:spacing w:lineRule="atLeast" w:line="276" w:after="0" w:before="240"/>
              <w:rPr>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C – France est quasiment identique à celui de la zone euro</w:t>
            </w:r>
            <w:r>
              <w:rPr>
                <w:b/>
                <w:color w:val="FF0000"/>
                <w:sz w:val="24"/>
              </w:rPr>
            </w:r>
            <w:r>
              <w:rPr>
                <w:b/>
                <w:color w:val="FF0000"/>
              </w:rPr>
            </w:r>
          </w:p>
          <w:p>
            <w:pPr>
              <w:ind w:left="0" w:right="0" w:firstLine="0"/>
              <w:jc w:val="both"/>
              <w:spacing w:lineRule="atLeast" w:line="276" w:after="142" w:before="240"/>
              <w:rPr>
                <w:b/>
                <w:color w:val="FF000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FF0000"/>
                <w:sz w:val="22"/>
              </w:rPr>
              <w:t xml:space="preserve">D – France correspond à l’objectif de la BCE </w:t>
            </w:r>
            <w:r>
              <w:rPr>
                <w:b/>
                <w:color w:val="FF0000"/>
                <w:sz w:val="24"/>
              </w:rPr>
            </w:r>
            <w:r>
              <w:rPr>
                <w:b/>
                <w:color w:val="FF0000"/>
              </w:rPr>
            </w:r>
          </w:p>
        </w:tc>
      </w:tr>
    </w:tbl>
    <w:p>
      <w:pPr>
        <w:rPr>
          <w:rFonts w:ascii="Times New Roman" w:hAnsi="Times New Roman" w:cs="Times New Roman" w:eastAsia="Times New Roman"/>
          <w:color w:val="000000"/>
          <w:sz w:val="24"/>
          <w:highlight w:val="none"/>
        </w:rP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p>
      <w:pPr>
        <w:rPr>
          <w:rFonts w:ascii="Times New Roman" w:hAnsi="Times New Roman" w:cs="Times New Roman" w:eastAsia="Times New Roman"/>
          <w:color w:val="000000"/>
          <w:sz w:val="24"/>
          <w:highlight w:val="none"/>
        </w:rP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p>
    <w:sectPr>
      <w:footnotePr/>
      <w:endnotePr/>
      <w:type w:val="nextPage"/>
      <w:pgSz w:w="11906" w:h="16838" w:orient="portrait"/>
      <w:pgMar w:top="567" w:right="850" w:bottom="397"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59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59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9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9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9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9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9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9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9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59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59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599"/>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99"/>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99"/>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99"/>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99"/>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99"/>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99"/>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9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9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9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9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9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9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9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59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9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59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9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9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9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59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9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59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59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59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59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59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59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59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59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qFormat/>
    <w:uiPriority w:val="1"/>
    <w:pPr>
      <w:spacing w:lineRule="auto" w:line="240" w:after="0"/>
    </w:pPr>
  </w:style>
  <w:style w:type="paragraph" w:styleId="602">
    <w:name w:val="List Paragraph"/>
    <w:basedOn w:val="598"/>
    <w:qFormat/>
    <w:uiPriority w:val="34"/>
    <w:pPr>
      <w:contextualSpacing w:val="true"/>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image" Target="media/image1.png"/><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ONLYOFFICE/6.4.1.45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Philippe Jerome</cp:lastModifiedBy>
  <cp:revision>1</cp:revision>
  <dcterms:modified xsi:type="dcterms:W3CDTF">2021-10-22T14:14:20Z</dcterms:modified>
</cp:coreProperties>
</file>