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false"/>
        <w:ind w:left="0" w:firstLine="0"/>
        <w:jc w:val="center"/>
        <w:spacing w:after="0" w:before="0"/>
        <w:rPr>
          <w:rFonts w:ascii="Arial" w:hAnsi="Arial" w:cs="Arial" w:eastAsia="Arial"/>
          <w:b/>
          <w:color w:val="000000"/>
          <w:sz w:val="23"/>
          <w:highlight w:val="none"/>
        </w:rPr>
        <w:suppressLineNumbers w:val="0"/>
      </w:pPr>
      <w:r>
        <w:rPr>
          <w:rFonts w:ascii="Arial" w:hAnsi="Arial" w:cs="Arial" w:eastAsia="Arial"/>
          <w:b/>
          <w:color w:val="000000"/>
          <w:sz w:val="23"/>
          <w:highlight w:val="none"/>
        </w:rPr>
        <w:t xml:space="preserve">EVALUATION BILAN : </w:t>
      </w:r>
      <w:r>
        <w:rPr>
          <w:rFonts w:ascii="Arial" w:hAnsi="Arial" w:cs="Arial" w:eastAsia="Arial"/>
          <w:b/>
          <w:color w:val="000000"/>
          <w:sz w:val="23"/>
          <w:highlight w:val="green"/>
        </w:rPr>
        <w:t xml:space="preserve">objectifs</w:t>
      </w:r>
      <w:r>
        <w:rPr>
          <w:rFonts w:ascii="Arial" w:hAnsi="Arial" w:cs="Arial" w:eastAsia="Arial"/>
          <w:b/>
          <w:color w:val="000000"/>
          <w:sz w:val="23"/>
          <w:highlight w:val="none"/>
        </w:rPr>
        <w:t xml:space="preserve"> et </w:t>
      </w:r>
      <w:r>
        <w:rPr>
          <w:rFonts w:ascii="Arial" w:hAnsi="Arial" w:cs="Arial" w:eastAsia="Arial"/>
          <w:b/>
          <w:color w:val="000000"/>
          <w:sz w:val="23"/>
          <w:highlight w:val="green"/>
        </w:rPr>
        <w:t xml:space="preserve">modalités</w:t>
      </w:r>
      <w:r>
        <w:rPr>
          <w:rFonts w:ascii="Arial" w:hAnsi="Arial" w:cs="Arial" w:eastAsia="Arial"/>
          <w:b/>
          <w:color w:val="000000"/>
          <w:sz w:val="23"/>
          <w:highlight w:val="none"/>
        </w:rPr>
        <w:t xml:space="preserve"> de la politique de concurrence</w:t>
      </w:r>
      <w:r>
        <w:rPr>
          <w:rFonts w:ascii="Arial" w:hAnsi="Arial" w:cs="Arial" w:eastAsia="Arial"/>
        </w:rPr>
      </w:r>
      <w:r/>
      <w:r>
        <w:rPr>
          <w:rFonts w:ascii="Arial" w:hAnsi="Arial" w:cs="Arial" w:eastAsia="Arial"/>
          <w:b/>
          <w:color w:val="000000"/>
          <w:sz w:val="23"/>
          <w:highlight w:val="none"/>
        </w:rPr>
      </w:r>
      <w:r>
        <w:rPr>
          <w:rFonts w:ascii="Arial" w:hAnsi="Arial" w:cs="Arial" w:eastAsia="Arial"/>
          <w:b/>
          <w:color w:val="000000"/>
          <w:sz w:val="23"/>
          <w:highlight w:val="none"/>
        </w:rPr>
      </w:r>
    </w:p>
    <w:p>
      <w:pPr>
        <w:contextualSpacing w:val="false"/>
        <w:ind w:left="0" w:firstLine="0"/>
        <w:jc w:val="left"/>
        <w:spacing w:lineRule="atLeast" w:line="283" w:after="0" w:before="0"/>
        <w:rPr>
          <w:rFonts w:ascii="Arial" w:hAnsi="Arial" w:cs="Arial" w:eastAsia="Arial"/>
          <w:b/>
          <w:color w:val="000000"/>
          <w:sz w:val="18"/>
          <w:highlight w:val="none"/>
        </w:rPr>
        <w:suppressLineNumbers w:val="0"/>
      </w:pPr>
      <w:r>
        <w:rPr>
          <w:rFonts w:ascii="Arial" w:hAnsi="Arial" w:cs="Arial" w:eastAsia="Arial"/>
          <w:b/>
          <w:color w:val="000000"/>
          <w:sz w:val="18"/>
          <w:highlight w:val="none"/>
        </w:rPr>
        <w:t xml:space="preserve">EXERCICE 1 :</w:t>
        <w:tab/>
        <w:t xml:space="preserve">/ 4 (0.5 pt / </w:t>
      </w:r>
      <w:r>
        <w:rPr>
          <w:rFonts w:ascii="Arial" w:hAnsi="Arial" w:cs="Arial" w:eastAsia="Arial"/>
          <w:b/>
          <w:color w:val="000000"/>
          <w:sz w:val="18"/>
          <w:highlight w:val="cyan"/>
        </w:rPr>
        <w:t xml:space="preserve">proposition de barème</w:t>
      </w:r>
      <w:r>
        <w:rPr>
          <w:rFonts w:ascii="Arial" w:hAnsi="Arial" w:cs="Arial" w:eastAsia="Arial"/>
          <w:b/>
          <w:color w:val="000000"/>
          <w:sz w:val="18"/>
          <w:highlight w:val="none"/>
        </w:rPr>
        <w:t xml:space="preserve">)</w:t>
      </w:r>
      <w:r>
        <w:rPr>
          <w:rFonts w:ascii="Arial" w:hAnsi="Arial" w:cs="Arial" w:eastAsia="Arial"/>
          <w:b/>
          <w:color w:val="000000"/>
          <w:sz w:val="18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tLeast" w:line="283" w:after="0" w:before="0"/>
        <w:rPr>
          <w:rFonts w:ascii="Arial" w:hAnsi="Arial" w:cs="Arial" w:eastAsia="Arial"/>
          <w:i/>
          <w:color w:val="000000"/>
          <w:sz w:val="1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Arial" w:hAnsi="Arial" w:cs="Arial" w:eastAsia="Arial"/>
          <w:b/>
          <w:color w:val="000000"/>
          <w:sz w:val="18"/>
        </w:rPr>
        <w:t xml:space="preserve">. Consigne :</w:t>
      </w:r>
      <w:r>
        <w:rPr>
          <w:rFonts w:ascii="Arial" w:hAnsi="Arial" w:cs="Arial" w:eastAsia="Arial"/>
          <w:color w:val="000000"/>
          <w:sz w:val="18"/>
        </w:rPr>
        <w:t xml:space="preserve"> complétez le schéma ci-dessous avec les termes appropriés : </w:t>
      </w:r>
      <w:r>
        <w:rPr>
          <w:rFonts w:ascii="Arial" w:hAnsi="Arial" w:cs="Arial" w:eastAsia="Arial"/>
          <w:i/>
          <w:color w:val="000000"/>
          <w:sz w:val="18"/>
        </w:rPr>
        <w:t xml:space="preserve">baisse des prix, en</w:t>
      </w:r>
      <w:r>
        <w:rPr>
          <w:rFonts w:ascii="Arial" w:hAnsi="Arial" w:cs="Arial" w:eastAsia="Arial"/>
          <w:i/>
          <w:color w:val="000000"/>
          <w:sz w:val="18"/>
        </w:rPr>
        <w:t xml:space="preserve">courager l’innovation, abus de position dominante, concentrations, diversifier les produits, pratiques d’entente,  améliorer la compétitivité, subventions</w:t>
      </w:r>
      <w:r>
        <w:rPr>
          <w:rFonts w:ascii="Arial" w:hAnsi="Arial" w:cs="Arial" w:eastAsia="Arial"/>
          <w:i/>
          <w:color w:val="000000"/>
          <w:sz w:val="18"/>
        </w:rPr>
        <w:t xml:space="preserve">.</w:t>
      </w:r>
      <w:r>
        <w:rPr>
          <w:sz w:val="18"/>
        </w:rPr>
      </w:r>
      <w:r/>
    </w:p>
    <w:tbl>
      <w:tblPr>
        <w:tblStyle w:val="692"/>
        <w:tblW w:w="0" w:type="auto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4253"/>
      </w:tblGrid>
      <w:tr>
        <w:trPr>
          <w:trHeight w:val="631"/>
        </w:trPr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false"/>
              <w:jc w:val="left"/>
              <w:spacing w:lineRule="atLeast" w:line="283" w:after="0" w:before="0"/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tLeast" w:line="283" w:after="0" w:before="0"/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t xml:space="preserve">OBJECTIFS</w:t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t xml:space="preserve">Pour les consommateurs</w:t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t xml:space="preserve">. Baisse des prix</w:t>
            </w: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tLeast" w:line="283" w:after="0" w:before="0"/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t xml:space="preserve">. </w:t>
            </w:r>
            <w:r>
              <w:rPr>
                <w:rFonts w:ascii="Arial" w:hAnsi="Arial" w:cs="Arial" w:eastAsia="Arial"/>
                <w:i/>
                <w:color w:val="00B050"/>
                <w:sz w:val="18"/>
              </w:rPr>
              <w:t xml:space="preserve">Diversifier les produits</w:t>
            </w: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</w:r>
            <w:r/>
          </w:p>
        </w:tc>
      </w:tr>
      <w:tr>
        <w:trPr/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t xml:space="preserve">Pour les entreprises</w:t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t xml:space="preserve">. Encourager l’innovation</w:t>
            </w: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tLeast" w:line="283" w:after="0" w:before="0"/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t xml:space="preserve">. Améliorer la compétitivité</w:t>
            </w: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</w:r>
            <w:r/>
          </w:p>
        </w:tc>
      </w:tr>
      <w:tr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false"/>
              <w:jc w:val="left"/>
              <w:spacing w:lineRule="atLeast" w:line="283" w:after="0" w:before="0"/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tLeast" w:line="283" w:after="0" w:before="0"/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t xml:space="preserve">MODALITES</w:t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t xml:space="preserve">Contrôle </w:t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t xml:space="preserve">. </w:t>
            </w:r>
            <w:r>
              <w:rPr>
                <w:rFonts w:ascii="Arial" w:hAnsi="Arial" w:cs="Arial" w:eastAsia="Arial"/>
                <w:i/>
                <w:color w:val="00B050"/>
                <w:sz w:val="18"/>
              </w:rPr>
              <w:t xml:space="preserve">Concentrations</w:t>
            </w: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tLeast" w:line="283" w:after="0" w:before="0"/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t xml:space="preserve">. Subventions</w:t>
            </w: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</w:r>
            <w:r/>
          </w:p>
        </w:tc>
      </w:tr>
      <w:tr>
        <w:trPr/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tabs>
                <w:tab w:val="center" w:pos="1451" w:leader="none"/>
              </w:tabs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t xml:space="preserve">Sanctions / Amendes pour...</w:t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  <w:tab/>
            </w:r>
            <w:r>
              <w:rPr>
                <w:rFonts w:ascii="Arial" w:hAnsi="Arial" w:cs="Arial" w:eastAsia="Arial"/>
                <w:b/>
                <w:i/>
                <w:color w:val="000000"/>
                <w:sz w:val="18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t xml:space="preserve">. </w:t>
            </w:r>
            <w:r>
              <w:rPr>
                <w:rFonts w:ascii="Arial" w:hAnsi="Arial" w:cs="Arial" w:eastAsia="Arial"/>
                <w:i/>
                <w:color w:val="00B050"/>
                <w:sz w:val="18"/>
              </w:rPr>
              <w:t xml:space="preserve">Abus de position dominante</w:t>
            </w: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</w:r>
            <w:r/>
          </w:p>
          <w:p>
            <w:pPr>
              <w:contextualSpacing w:val="false"/>
              <w:jc w:val="both"/>
              <w:spacing w:lineRule="atLeast" w:line="283" w:after="0" w:before="0"/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  <w:t xml:space="preserve">. Pratiques d’entente</w:t>
            </w:r>
            <w:r>
              <w:rPr>
                <w:rFonts w:ascii="Arial" w:hAnsi="Arial" w:cs="Arial" w:eastAsia="Arial"/>
                <w:i/>
                <w:color w:val="00B050"/>
                <w:sz w:val="18"/>
                <w:highlight w:val="none"/>
              </w:rPr>
            </w:r>
            <w:r/>
          </w:p>
        </w:tc>
      </w:tr>
    </w:tbl>
    <w:p>
      <w:pPr>
        <w:contextualSpacing w:val="false"/>
        <w:jc w:val="both"/>
        <w:spacing w:lineRule="atLeast" w:line="283" w:after="0" w:before="0"/>
        <w:rPr>
          <w:b/>
          <w:sz w:val="18"/>
          <w:highlight w:val="none"/>
        </w:rPr>
        <w:suppressLineNumbers w:val="0"/>
      </w:pPr>
      <w:r>
        <w:rPr>
          <w:b/>
          <w:sz w:val="18"/>
        </w:rPr>
        <w:t xml:space="preserve">EXERCICE 2 :</w:t>
      </w:r>
      <w:r>
        <w:rPr>
          <w:b/>
          <w:sz w:val="18"/>
        </w:rPr>
        <w:tab/>
        <w:t xml:space="preserve">/ 3 (0,5 pt / proposition)</w:t>
      </w:r>
      <w:r>
        <w:rPr>
          <w:sz w:val="18"/>
        </w:rPr>
      </w:r>
      <w:r/>
    </w:p>
    <w:p>
      <w:pPr>
        <w:contextualSpacing w:val="false"/>
        <w:jc w:val="both"/>
        <w:spacing w:lineRule="atLeast" w:line="283" w:after="0" w:before="0"/>
        <w:rPr>
          <w:b w:val="false"/>
          <w:sz w:val="18"/>
          <w:highlight w:val="none"/>
        </w:rPr>
        <w:suppressLineNumbers w:val="0"/>
      </w:pPr>
      <w:r>
        <w:rPr>
          <w:b/>
          <w:sz w:val="18"/>
          <w:highlight w:val="none"/>
        </w:rPr>
        <w:t xml:space="preserve">Consigne : </w:t>
      </w:r>
      <w:r>
        <w:rPr>
          <w:b w:val="false"/>
          <w:sz w:val="18"/>
          <w:highlight w:val="none"/>
        </w:rPr>
        <w:t xml:space="preserve">cochez la politique de la concurrence correspondante aux situations énoncées. </w:t>
      </w:r>
      <w:r>
        <w:rPr>
          <w:b/>
          <w:sz w:val="18"/>
          <w:highlight w:val="none"/>
        </w:rPr>
      </w:r>
      <w:r/>
    </w:p>
    <w:tbl>
      <w:tblPr>
        <w:tblStyle w:val="692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386"/>
        <w:gridCol w:w="1701"/>
        <w:gridCol w:w="1701"/>
        <w:gridCol w:w="1276"/>
      </w:tblGrid>
      <w:tr>
        <w:trPr>
          <w:trHeight w:val="916"/>
        </w:trPr>
        <w:tc>
          <w:tcPr>
            <w:tcW w:w="5386" w:type="dxa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rPr>
                <w:b w:val="false"/>
                <w:sz w:val="18"/>
              </w:rPr>
              <w:suppressLineNumbers w:val="0"/>
            </w:pPr>
            <w:r>
              <w:rPr>
                <w:b w:val="false"/>
                <w:sz w:val="18"/>
              </w:rPr>
            </w:r>
            <w:r>
              <w:rPr>
                <w:b w:val="false"/>
                <w:sz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sz w:val="18"/>
              </w:rPr>
              <w:suppressLineNumbers w:val="0"/>
            </w:pPr>
            <w:r>
              <w:rPr>
                <w:b/>
                <w:sz w:val="18"/>
              </w:rPr>
              <w:t xml:space="preserve">Condamnation pour entente illicite</w:t>
            </w:r>
            <w:r>
              <w:rPr>
                <w:b/>
                <w:sz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sz w:val="18"/>
              </w:rPr>
              <w:suppressLineNumbers w:val="0"/>
            </w:pPr>
            <w:r>
              <w:rPr>
                <w:b/>
                <w:sz w:val="18"/>
              </w:rPr>
              <w:t xml:space="preserve">Condamnation pour abus de position dominante</w:t>
            </w:r>
            <w:r>
              <w:rPr>
                <w:b/>
                <w:sz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sz w:val="18"/>
              </w:rPr>
              <w:suppressLineNumbers w:val="0"/>
            </w:pPr>
            <w:r>
              <w:rPr>
                <w:b/>
                <w:sz w:val="18"/>
              </w:rPr>
              <w:t xml:space="preserve">Contrôle des Fusion-acquisition</w:t>
            </w:r>
            <w:r>
              <w:rPr>
                <w:b/>
                <w:sz w:val="18"/>
              </w:rPr>
            </w:r>
            <w:r/>
          </w:p>
          <w:p>
            <w:pPr>
              <w:contextualSpacing w:val="false"/>
              <w:jc w:val="center"/>
              <w:spacing w:lineRule="atLeast" w:line="283" w:after="0" w:before="0"/>
              <w:rPr>
                <w:b/>
                <w:sz w:val="18"/>
              </w:rPr>
              <w:suppressLineNumbers w:val="0"/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/>
          </w:p>
        </w:tc>
      </w:tr>
      <w:tr>
        <w:trPr>
          <w:trHeight w:val="581"/>
        </w:trPr>
        <w:tc>
          <w:tcPr>
            <w:tcW w:w="5386" w:type="dxa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rPr>
                <w:b w:val="false"/>
                <w:sz w:val="18"/>
                <w:highlight w:val="none"/>
              </w:rPr>
              <w:suppressLineNumbers w:val="0"/>
            </w:pPr>
            <w:r>
              <w:rPr>
                <w:b w:val="false"/>
                <w:sz w:val="18"/>
              </w:rPr>
              <w:t xml:space="preserve">Engie a été condamnée à 100 millions d’euros d’amende pour avoir utilisé des fichiers clients hérités de GDF-Suez</w:t>
            </w:r>
            <w:r>
              <w:rPr>
                <w:sz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 w:val="false"/>
                <w:color w:val="00B050"/>
                <w:sz w:val="18"/>
              </w:rPr>
              <w:suppressLineNumbers w:val="0"/>
            </w:pPr>
            <w:r>
              <w:rPr>
                <w:b w:val="false"/>
                <w:color w:val="00B050"/>
                <w:sz w:val="18"/>
              </w:rPr>
            </w:r>
            <w:r>
              <w:rPr>
                <w:b w:val="false"/>
                <w:color w:val="00B050"/>
                <w:sz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  <w:szCs w:val="20"/>
              </w:rPr>
              <w:suppressLineNumbers w:val="0"/>
            </w:pPr>
            <w:r>
              <w:rPr>
                <w:b/>
                <w:color w:val="00B050"/>
                <w:sz w:val="18"/>
              </w:rPr>
              <w:t xml:space="preserve">x</w:t>
            </w:r>
            <w:r>
              <w:rPr>
                <w:b/>
                <w:color w:val="00B050"/>
                <w:sz w:val="18"/>
              </w:rPr>
            </w:r>
            <w:r/>
          </w:p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  <w:szCs w:val="20"/>
              </w:rPr>
              <w:suppressLineNumbers w:val="0"/>
            </w:pPr>
            <w:r>
              <w:rPr>
                <w:b/>
                <w:color w:val="00B050"/>
                <w:sz w:val="18"/>
              </w:rPr>
              <w:t xml:space="preserve">x</w:t>
            </w:r>
            <w:r>
              <w:rPr>
                <w:b/>
                <w:color w:val="00B050"/>
                <w:sz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</w:rPr>
            </w:r>
            <w:r>
              <w:rPr>
                <w:b/>
                <w:color w:val="00B050"/>
                <w:sz w:val="18"/>
              </w:rPr>
            </w:r>
            <w:r/>
          </w:p>
        </w:tc>
      </w:tr>
      <w:tr>
        <w:trPr>
          <w:trHeight w:val="273"/>
        </w:trPr>
        <w:tc>
          <w:tcPr>
            <w:tcW w:w="5386" w:type="dxa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rPr>
                <w:b w:val="false"/>
                <w:sz w:val="18"/>
              </w:rPr>
              <w:suppressLineNumbers w:val="0"/>
            </w:pPr>
            <w:r>
              <w:rPr>
                <w:b w:val="false"/>
                <w:sz w:val="18"/>
              </w:rPr>
              <w:t xml:space="preserve">PSA a racheté Opel pour 1,3 milliards d’euros </w:t>
            </w:r>
            <w:r>
              <w:rPr>
                <w:b w:val="false"/>
                <w:sz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 w:val="false"/>
                <w:color w:val="00B050"/>
                <w:sz w:val="18"/>
              </w:rPr>
              <w:suppressLineNumbers w:val="0"/>
            </w:pPr>
            <w:r>
              <w:rPr>
                <w:b w:val="false"/>
                <w:color w:val="00B050"/>
                <w:sz w:val="18"/>
              </w:rPr>
            </w:r>
            <w:r>
              <w:rPr>
                <w:b w:val="false"/>
                <w:color w:val="00B050"/>
                <w:sz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false"/>
              <w:jc w:val="left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</w:rPr>
            </w:r>
            <w:r>
              <w:rPr>
                <w:b/>
                <w:color w:val="00B050"/>
                <w:sz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  <w:szCs w:val="20"/>
                <w:highlight w:val="none"/>
              </w:rPr>
              <w:suppressLineNumbers w:val="0"/>
            </w:pPr>
            <w:r>
              <w:rPr>
                <w:b/>
                <w:color w:val="00B050"/>
                <w:sz w:val="18"/>
              </w:rPr>
              <w:t xml:space="preserve">x</w:t>
            </w:r>
            <w:r>
              <w:rPr>
                <w:b/>
                <w:color w:val="00B050"/>
                <w:sz w:val="18"/>
              </w:rPr>
            </w:r>
            <w:r/>
          </w:p>
        </w:tc>
      </w:tr>
      <w:tr>
        <w:trPr>
          <w:trHeight w:val="689"/>
        </w:trPr>
        <w:tc>
          <w:tcPr>
            <w:tcW w:w="5386" w:type="dxa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rPr>
                <w:b w:val="false"/>
                <w:sz w:val="18"/>
              </w:rPr>
              <w:suppressLineNumbers w:val="0"/>
            </w:pPr>
            <w:r>
              <w:rPr>
                <w:b w:val="false"/>
                <w:sz w:val="18"/>
              </w:rPr>
              <w:t xml:space="preserve">En 2015, 11 fabricants de yaourts ont été condamnés pour avoir passé des accords sur les prix </w:t>
            </w:r>
            <w:r>
              <w:rPr>
                <w:b w:val="false"/>
                <w:sz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  <w:highlight w:val="none"/>
              </w:rPr>
            </w:r>
            <w:r>
              <w:rPr>
                <w:b/>
                <w:color w:val="00B050"/>
                <w:sz w:val="18"/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  <w:highlight w:val="none"/>
              </w:rPr>
              <w:suppressLineNumbers w:val="0"/>
            </w:pPr>
            <w:r>
              <w:rPr>
                <w:b/>
                <w:color w:val="00B050"/>
                <w:sz w:val="18"/>
              </w:rPr>
              <w:t xml:space="preserve">x</w:t>
            </w:r>
            <w:r>
              <w:rPr>
                <w:sz w:val="1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</w:rPr>
            </w:r>
            <w:r>
              <w:rPr>
                <w:b/>
                <w:color w:val="00B050"/>
                <w:sz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</w:rPr>
            </w:r>
            <w:r>
              <w:rPr>
                <w:b/>
                <w:color w:val="00B050"/>
                <w:sz w:val="18"/>
              </w:rPr>
            </w:r>
            <w:r/>
          </w:p>
        </w:tc>
      </w:tr>
      <w:tr>
        <w:trPr/>
        <w:tc>
          <w:tcPr>
            <w:tcW w:w="5386" w:type="dxa"/>
            <w:vMerge w:val="restart"/>
            <w:textDirection w:val="lrTb"/>
            <w:noWrap w:val="false"/>
          </w:tcPr>
          <w:p>
            <w:pPr>
              <w:contextualSpacing w:val="false"/>
              <w:jc w:val="both"/>
              <w:spacing w:lineRule="atLeast" w:line="283" w:after="0" w:before="0"/>
              <w:tabs>
                <w:tab w:val="center" w:pos="1061" w:leader="none"/>
                <w:tab w:val="center" w:pos="1061" w:leader="none"/>
              </w:tabs>
              <w:rPr>
                <w:b w:val="false"/>
                <w:sz w:val="18"/>
              </w:rPr>
              <w:suppressLineNumbers w:val="0"/>
            </w:pPr>
            <w:r>
              <w:rPr>
                <w:b w:val="false"/>
                <w:sz w:val="18"/>
              </w:rPr>
              <w:t xml:space="preserve">La commission européenne refuse le mariage </w:t>
            </w:r>
            <w:r>
              <w:rPr>
                <w:b w:val="false"/>
                <w:sz w:val="18"/>
              </w:rPr>
              <w:t xml:space="preserve">Alstom-Si</w:t>
            </w:r>
            <w:r>
              <w:rPr>
                <w:b w:val="false"/>
                <w:sz w:val="18"/>
              </w:rPr>
              <w:t xml:space="preserve">emens</w:t>
            </w:r>
            <w:r>
              <w:rPr>
                <w:b w:val="false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 w:val="false"/>
                <w:color w:val="00B050"/>
                <w:sz w:val="18"/>
              </w:rPr>
              <w:suppressLineNumbers w:val="0"/>
            </w:pPr>
            <w:r>
              <w:rPr>
                <w:b w:val="false"/>
                <w:color w:val="00B050"/>
                <w:sz w:val="18"/>
              </w:rPr>
            </w:r>
            <w:r>
              <w:rPr>
                <w:b w:val="false"/>
                <w:color w:val="00B050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</w:rPr>
            </w:r>
            <w:r>
              <w:rPr>
                <w:b/>
                <w:color w:val="00B050"/>
                <w:sz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  <w:highlight w:val="none"/>
              </w:rPr>
              <w:suppressLineNumbers w:val="0"/>
            </w:pPr>
            <w:r>
              <w:rPr>
                <w:b/>
                <w:color w:val="00B050"/>
                <w:sz w:val="18"/>
              </w:rPr>
              <w:t xml:space="preserve">X</w:t>
            </w:r>
            <w:r>
              <w:rPr>
                <w:b/>
                <w:color w:val="00B050"/>
                <w:sz w:val="18"/>
              </w:rPr>
            </w:r>
            <w:r/>
          </w:p>
        </w:tc>
      </w:tr>
      <w:tr>
        <w:trPr/>
        <w:tc>
          <w:tcPr>
            <w:tcW w:w="5386" w:type="dxa"/>
            <w:vMerge w:val="restart"/>
            <w:textDirection w:val="lrTb"/>
            <w:noWrap w:val="false"/>
          </w:tcPr>
          <w:p>
            <w:pPr>
              <w:contextualSpacing w:val="false"/>
              <w:ind w:left="0" w:right="0" w:firstLine="0"/>
              <w:jc w:val="both"/>
              <w:spacing w:lineRule="atLeast" w:line="283" w:after="0" w:before="0"/>
              <w:rPr>
                <w:b w:val="false"/>
                <w:sz w:val="1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 w:val="false"/>
                <w:color w:val="000000"/>
                <w:sz w:val="18"/>
              </w:rPr>
              <w:t xml:space="preserve"> Google est accusé d'obliger les fabricants de smartphones - hors Apple - à préinstaller par défaut son moteur de recherche et son navigateur (Chrome) </w:t>
            </w:r>
            <w:r>
              <w:rPr>
                <w:b w:val="false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 w:val="false"/>
                <w:color w:val="00B050"/>
                <w:sz w:val="18"/>
              </w:rPr>
              <w:suppressLineNumbers w:val="0"/>
            </w:pPr>
            <w:r>
              <w:rPr>
                <w:b w:val="false"/>
                <w:color w:val="00B050"/>
                <w:sz w:val="18"/>
              </w:rPr>
            </w:r>
            <w:r>
              <w:rPr>
                <w:b w:val="false"/>
                <w:color w:val="00B050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  <w:highlight w:val="none"/>
              </w:rPr>
            </w:r>
            <w:r>
              <w:rPr>
                <w:b/>
                <w:color w:val="00B050"/>
                <w:sz w:val="18"/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  <w:highlight w:val="none"/>
              </w:rPr>
              <w:suppressLineNumbers w:val="0"/>
            </w:pPr>
            <w:r>
              <w:rPr>
                <w:b/>
                <w:color w:val="00B050"/>
                <w:sz w:val="18"/>
              </w:rPr>
              <w:t xml:space="preserve">x</w:t>
            </w:r>
            <w:r>
              <w:rPr>
                <w:b/>
                <w:color w:val="00B050"/>
                <w:sz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</w:rPr>
            </w:r>
            <w:r>
              <w:rPr>
                <w:b/>
                <w:color w:val="00B050"/>
                <w:sz w:val="18"/>
              </w:rPr>
            </w:r>
            <w:r/>
          </w:p>
        </w:tc>
      </w:tr>
      <w:tr>
        <w:trPr/>
        <w:tc>
          <w:tcPr>
            <w:tcW w:w="5386" w:type="dxa"/>
            <w:vMerge w:val="restart"/>
            <w:textDirection w:val="lrTb"/>
            <w:noWrap w:val="false"/>
          </w:tcPr>
          <w:p>
            <w:pPr>
              <w:contextualSpacing w:val="false"/>
              <w:ind w:left="0" w:right="0" w:firstLine="0"/>
              <w:jc w:val="both"/>
              <w:spacing w:lineRule="atLeast" w:line="283" w:after="0" w:before="0"/>
              <w:rPr>
                <w:rFonts w:ascii="Arial" w:hAnsi="Arial" w:cs="Arial" w:eastAsia="Arial"/>
                <w:b w:val="false"/>
                <w:color w:val="000000"/>
                <w:sz w:val="1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rPr>
                <w:rFonts w:ascii="Arial" w:hAnsi="Arial" w:cs="Arial" w:eastAsia="Arial"/>
                <w:b w:val="false"/>
                <w:color w:val="000000"/>
                <w:sz w:val="18"/>
              </w:rPr>
              <w:t xml:space="preserve">Le club de trois (Orange, SFR et Bouygues) </w:t>
            </w:r>
            <w:r>
              <w:rPr>
                <w:rFonts w:ascii="Arial" w:hAnsi="Arial" w:cs="Arial" w:eastAsia="Arial"/>
                <w:b w:val="false"/>
                <w:color w:val="202122"/>
                <w:sz w:val="18"/>
                <w:highlight w:val="white"/>
              </w:rPr>
              <w:t xml:space="preserve">ont fixé des prix artificiellement élevés au détriment de tous les utilisateurs pour un préjudice global estimé entre 1,2 et 1,6 milliard d'euros</w:t>
            </w:r>
            <w:r>
              <w:rPr>
                <w:rFonts w:ascii="Arial" w:hAnsi="Arial" w:cs="Arial" w:eastAsia="Arial"/>
                <w:b w:val="false"/>
                <w:color w:val="000000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  <w:highlight w:val="none"/>
              </w:rPr>
            </w:r>
            <w:r>
              <w:rPr>
                <w:b/>
                <w:color w:val="00B050"/>
                <w:sz w:val="18"/>
                <w:highlight w:val="none"/>
              </w:rPr>
            </w:r>
            <w:r/>
          </w:p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  <w:highlight w:val="none"/>
              </w:rPr>
              <w:suppressLineNumbers w:val="0"/>
            </w:pPr>
            <w:r>
              <w:rPr>
                <w:b/>
                <w:color w:val="00B050"/>
                <w:sz w:val="18"/>
              </w:rPr>
              <w:t xml:space="preserve">x</w:t>
            </w:r>
            <w:r>
              <w:rPr>
                <w:b/>
                <w:color w:val="00B050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</w:rPr>
            </w:r>
            <w:r>
              <w:rPr>
                <w:b/>
                <w:color w:val="00B050"/>
                <w:sz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tLeast" w:line="283" w:after="0" w:before="0"/>
              <w:rPr>
                <w:b/>
                <w:color w:val="00B050"/>
                <w:sz w:val="18"/>
              </w:rPr>
              <w:suppressLineNumbers w:val="0"/>
            </w:pPr>
            <w:r>
              <w:rPr>
                <w:b/>
                <w:color w:val="00B050"/>
                <w:sz w:val="18"/>
              </w:rPr>
            </w:r>
            <w:r>
              <w:rPr>
                <w:b/>
                <w:color w:val="00B050"/>
                <w:sz w:val="18"/>
              </w:rPr>
            </w:r>
            <w:r/>
          </w:p>
        </w:tc>
      </w:tr>
    </w:tbl>
    <w:p>
      <w:pPr>
        <w:contextualSpacing w:val="false"/>
        <w:ind w:left="0" w:right="0" w:firstLine="0"/>
        <w:jc w:val="both"/>
        <w:spacing w:lineRule="atLeast" w:line="283" w:after="0" w:before="0"/>
        <w:rPr>
          <w:b/>
          <w:sz w:val="1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Arial" w:hAnsi="Arial" w:cs="Arial" w:eastAsia="Arial"/>
          <w:b/>
          <w:i w:val="false"/>
          <w:color w:val="auto"/>
          <w:sz w:val="18"/>
          <w:u w:val="none"/>
        </w:rPr>
        <w:t xml:space="preserve">EXERCICE 3 :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 </w:t>
      </w:r>
      <w:r>
        <w:rPr>
          <w:b/>
          <w:sz w:val="18"/>
        </w:rPr>
        <w:t xml:space="preserve">/ 3 (pratique sanctionnée / clémence)</w:t>
      </w:r>
      <w:r>
        <w:rPr>
          <w:sz w:val="18"/>
        </w:rPr>
      </w:r>
      <w:r/>
    </w:p>
    <w:p>
      <w:pPr>
        <w:contextualSpacing w:val="false"/>
        <w:ind w:left="0" w:right="0" w:firstLine="0"/>
        <w:jc w:val="both"/>
        <w:spacing w:lineRule="atLeast" w:line="283" w:after="0" w:before="0"/>
        <w:rPr>
          <w:rFonts w:ascii="Arial" w:hAnsi="Arial" w:cs="Arial" w:eastAsia="Arial"/>
          <w:b w:val="false"/>
          <w:color w:val="262626"/>
          <w:sz w:val="18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De 2010 à 2016, les trois principaux fabricants - 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Daunat, Roland Monterrat et La Toque Angevine (LTA)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, filiale du groupe LDC, leader français de la volaille - se sont coordonnés pour fausser des appels d'offres lancés par des distributeurs et 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préserver leurs marges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, indique, mercredi 24 mars 2021, l'Autorité de la concurrence dans un communiqué. L'amende infligée s'élève au total à 24,5 millions d'euros. [...] 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Le point de départ : une 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« procédure de clémence »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 sollicitée par l'un des acteurs. </w:t>
      </w:r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Les enseignes de la grande distribution (Carrefour, Casino ou Leclerc)  ont recours à des fabricants pour </w:t>
      </w:r>
      <w:hyperlink r:id="rId10" w:tooltip="https://business.lesechos.fr/entrepreneurs/franchise/efra-00053836-le-roi-des-sandwiches-n-est-plus-le-jambon-beurre-319722.php" w:history="1">
        <w:r>
          <w:rPr>
            <w:rStyle w:val="818"/>
            <w:rFonts w:ascii="Arial" w:hAnsi="Arial" w:cs="Arial" w:eastAsia="Arial"/>
            <w:b w:val="false"/>
            <w:i w:val="false"/>
            <w:color w:val="auto"/>
            <w:sz w:val="18"/>
            <w:u w:val="none"/>
          </w:rPr>
          <w:t xml:space="preserve">vendre des sandwichs sous leur marque propre</w:t>
        </w:r>
      </w:hyperlink>
      <w:r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t xml:space="preserve">, et ils s'adressent souvent aux mêmes : Daunat, Roland Monterrat et La Toque Angevine et Daunat, qui contrôlent 90 % du marché. De plus, </w:t>
      </w:r>
      <w:r>
        <w:rPr>
          <w:rFonts w:ascii="Arial" w:hAnsi="Arial" w:cs="Arial" w:eastAsia="Arial"/>
          <w:b w:val="false"/>
          <w:color w:val="262626"/>
          <w:sz w:val="18"/>
          <w:u w:val="none"/>
        </w:rPr>
        <w:t xml:space="preserve">en pratique, les cadres de ces trois </w:t>
      </w:r>
      <w:r>
        <w:rPr>
          <w:rFonts w:ascii="Arial" w:hAnsi="Arial" w:cs="Arial" w:eastAsia="Arial"/>
          <w:b w:val="false"/>
          <w:color w:val="262626"/>
          <w:sz w:val="18"/>
          <w:u w:val="none"/>
        </w:rPr>
        <w:t xml:space="preserve">échangeaient leurs intentions de prix</w:t>
      </w:r>
      <w:r>
        <w:rPr>
          <w:rFonts w:ascii="Arial" w:hAnsi="Arial" w:cs="Arial" w:eastAsia="Arial"/>
          <w:b w:val="false"/>
          <w:color w:val="262626"/>
          <w:sz w:val="18"/>
          <w:u w:val="none"/>
        </w:rPr>
        <w:t xml:space="preserve"> au cours de </w:t>
      </w:r>
      <w:r>
        <w:rPr>
          <w:rFonts w:ascii="Arial" w:hAnsi="Arial" w:cs="Arial" w:eastAsia="Arial"/>
          <w:b w:val="false"/>
          <w:i/>
          <w:color w:val="262626"/>
          <w:sz w:val="18"/>
          <w:u w:val="none"/>
        </w:rPr>
        <w:t xml:space="preserve">« rencontres secrètes et informelles »</w:t>
      </w:r>
      <w:r>
        <w:rPr>
          <w:rFonts w:ascii="Arial" w:hAnsi="Arial" w:cs="Arial" w:eastAsia="Arial"/>
          <w:b w:val="false"/>
          <w:color w:val="262626"/>
          <w:sz w:val="18"/>
          <w:u w:val="none"/>
        </w:rPr>
        <w:t xml:space="preserve">ou </w:t>
      </w:r>
      <w:r>
        <w:rPr>
          <w:rFonts w:ascii="Arial" w:hAnsi="Arial" w:cs="Arial" w:eastAsia="Arial"/>
          <w:b w:val="false"/>
          <w:i/>
          <w:color w:val="262626"/>
          <w:sz w:val="18"/>
          <w:u w:val="none"/>
        </w:rPr>
        <w:t xml:space="preserve">« lors d'appels téléphoniques ou par l'envoi de SMS ou de courriers électroniques, parfois envoyés vers et depuis des adresses de messageries non professionnelles »</w:t>
      </w:r>
      <w:r>
        <w:rPr>
          <w:rFonts w:ascii="Arial" w:hAnsi="Arial" w:cs="Arial" w:eastAsia="Arial"/>
          <w:b w:val="false"/>
          <w:color w:val="262626"/>
          <w:sz w:val="18"/>
          <w:u w:val="none"/>
        </w:rPr>
        <w:t xml:space="preserve">, relève le gendarme de la concurrence. </w:t>
      </w:r>
      <w:r/>
    </w:p>
    <w:p>
      <w:pPr>
        <w:contextualSpacing w:val="false"/>
        <w:ind w:left="0" w:right="0" w:firstLine="0"/>
        <w:jc w:val="right"/>
        <w:spacing w:lineRule="atLeast" w:line="283" w:after="0" w:before="0"/>
        <w:rPr>
          <w:rFonts w:ascii="Arial" w:hAnsi="Arial" w:cs="Arial" w:eastAsia="Arial"/>
          <w:b w:val="false"/>
          <w:i w:val="false"/>
          <w:color w:val="auto"/>
          <w:sz w:val="18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Arial" w:hAnsi="Arial" w:cs="Arial" w:eastAsia="Arial"/>
          <w:b w:val="false"/>
          <w:color w:val="262626"/>
          <w:sz w:val="18"/>
          <w:u w:val="none"/>
        </w:rPr>
      </w:r>
      <w:r>
        <w:rPr>
          <w:b w:val="false"/>
          <w:i/>
          <w:sz w:val="18"/>
          <w:u w:val="none"/>
        </w:rPr>
        <w:t xml:space="preserve">Source : </w:t>
      </w:r>
      <w:r>
        <w:rPr>
          <w:b w:val="false"/>
          <w:sz w:val="18"/>
          <w:u w:val="none"/>
        </w:rPr>
        <w:t xml:space="preserve">Les échos, « du rififi dans le jambon beurre », 25/03/21</w:t>
      </w:r>
      <w:r>
        <w:rPr>
          <w:b w:val="false"/>
          <w:sz w:val="18"/>
          <w:highlight w:val="none"/>
          <w:u w:val="none"/>
        </w:rPr>
      </w:r>
      <w:r/>
    </w:p>
    <w:p>
      <w:pPr>
        <w:contextualSpacing w:val="false"/>
        <w:jc w:val="both"/>
        <w:spacing w:lineRule="atLeast" w:line="283" w:after="0" w:before="0"/>
        <w:rPr>
          <w:b/>
          <w:sz w:val="18"/>
          <w:highlight w:val="none"/>
        </w:rPr>
        <w:suppressLineNumbers w:val="0"/>
      </w:pPr>
      <w:r>
        <w:rPr>
          <w:rFonts w:ascii="Arial" w:hAnsi="Arial" w:cs="Arial" w:eastAsia="Arial"/>
          <w:b/>
          <w:color w:val="000000"/>
          <w:sz w:val="18"/>
          <w:highlight w:val="none"/>
        </w:rPr>
        <w:t xml:space="preserve">Consigne : </w:t>
      </w:r>
      <w:r>
        <w:rPr>
          <w:rFonts w:ascii="Arial" w:hAnsi="Arial" w:cs="Arial" w:eastAsia="Arial"/>
          <w:b w:val="false"/>
          <w:color w:val="000000"/>
          <w:sz w:val="18"/>
          <w:highlight w:val="none"/>
        </w:rPr>
        <w:t xml:space="preserve">après avoir repéré pourquoi la pratique des fabricants a été sanctionnée vous présenterez brièvement le principe d’une « procédure de clémence ». </w:t>
      </w:r>
      <w:r>
        <w:rPr>
          <w:b/>
          <w:sz w:val="18"/>
        </w:rPr>
        <w:t xml:space="preserve"> </w:t>
      </w:r>
      <w:r>
        <w:rPr>
          <w:b w:val="false"/>
          <w:sz w:val="20"/>
        </w:rPr>
      </w:r>
      <w:r/>
    </w:p>
    <w:p>
      <w:pPr>
        <w:contextualSpacing w:val="false"/>
        <w:jc w:val="both"/>
        <w:spacing w:lineRule="atLeast" w:line="283" w:after="0" w:before="0"/>
        <w:rPr>
          <w:rFonts w:ascii="Arial" w:hAnsi="Arial" w:cs="Arial" w:eastAsia="Arial"/>
          <w:b w:val="false"/>
          <w:color w:val="00B050"/>
          <w:sz w:val="18"/>
          <w:highlight w:val="none"/>
        </w:rPr>
        <w:suppressLineNumbers w:val="0"/>
      </w:pPr>
      <w:r>
        <w:rPr>
          <w:b/>
          <w:color w:val="00B050"/>
          <w:sz w:val="18"/>
          <w:highlight w:val="none"/>
        </w:rPr>
        <w:t xml:space="preserve">-&gt; Appels d’offre des distributeurs faussés par les fabricants de sandwichs qui s’accordent pour maintenir leur marge, cet accord secret relève de l’entente / cartel. </w:t>
      </w:r>
      <w:r>
        <w:rPr>
          <w:rFonts w:ascii="Arial" w:hAnsi="Arial" w:cs="Arial" w:eastAsia="Arial"/>
          <w:b w:val="false"/>
          <w:color w:val="00B050"/>
          <w:sz w:val="18"/>
          <w:highlight w:val="none"/>
        </w:rPr>
      </w:r>
      <w:r/>
    </w:p>
    <w:p>
      <w:pPr>
        <w:contextualSpacing w:val="false"/>
        <w:jc w:val="both"/>
        <w:spacing w:lineRule="atLeast" w:line="283" w:after="0" w:before="0"/>
        <w:rPr>
          <w:b w:val="false"/>
          <w:color w:val="00B050"/>
          <w:sz w:val="18"/>
          <w:highlight w:val="none"/>
        </w:rPr>
        <w:suppressLineNumbers w:val="0"/>
      </w:pPr>
      <w:r>
        <w:rPr>
          <w:b/>
          <w:color w:val="00B050"/>
          <w:sz w:val="18"/>
          <w:highlight w:val="none"/>
        </w:rPr>
        <w:t xml:space="preserve">-&gt; Politique de clémence comme exonération de l’amende pour l’entreprise qui dénonce les autres</w:t>
      </w:r>
      <w:r>
        <w:rPr>
          <w:b w:val="false"/>
          <w:color w:val="00B050"/>
          <w:sz w:val="18"/>
        </w:rPr>
        <w:t xml:space="preserve"> (logique d’incitation à la dénonciation)</w:t>
      </w:r>
      <w:r>
        <w:rPr>
          <w:b w:val="false"/>
          <w:color w:val="00B050"/>
          <w:sz w:val="18"/>
        </w:rPr>
      </w:r>
      <w:r/>
    </w:p>
    <w:p>
      <w:pPr>
        <w:contextualSpacing w:val="false"/>
        <w:jc w:val="both"/>
        <w:spacing w:lineRule="atLeast" w:line="283" w:after="0" w:before="0"/>
        <w:rPr>
          <w:rFonts w:ascii="Arial" w:hAnsi="Arial" w:cs="Arial" w:eastAsia="Arial"/>
          <w:b w:val="false"/>
          <w:color w:val="00B050"/>
          <w:sz w:val="18"/>
          <w:highlight w:val="none"/>
        </w:rPr>
        <w:suppressLineNumbers w:val="0"/>
      </w:pPr>
      <w:r>
        <w:rPr>
          <w:rFonts w:ascii="Arial" w:hAnsi="Arial" w:cs="Arial" w:eastAsia="Arial"/>
          <w:b w:val="false"/>
          <w:color w:val="00B050"/>
          <w:sz w:val="18"/>
          <w:highlight w:val="none"/>
        </w:rPr>
      </w:r>
      <w:r>
        <w:rPr>
          <w:rFonts w:ascii="Arial" w:hAnsi="Arial" w:cs="Arial" w:eastAsia="Arial"/>
          <w:b w:val="false"/>
          <w:color w:val="00B050"/>
          <w:sz w:val="1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1">
    <w:name w:val="Heading 1 Char"/>
    <w:link w:val="660"/>
    <w:uiPriority w:val="9"/>
    <w:rPr>
      <w:rFonts w:ascii="Arial" w:hAnsi="Arial" w:cs="Arial" w:eastAsia="Arial"/>
      <w:sz w:val="40"/>
      <w:szCs w:val="40"/>
    </w:rPr>
  </w:style>
  <w:style w:type="paragraph" w:styleId="662">
    <w:name w:val="Heading 2"/>
    <w:basedOn w:val="836"/>
    <w:next w:val="836"/>
    <w:link w:val="6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3">
    <w:name w:val="Heading 2 Char"/>
    <w:link w:val="662"/>
    <w:uiPriority w:val="9"/>
    <w:rPr>
      <w:rFonts w:ascii="Arial" w:hAnsi="Arial" w:cs="Arial" w:eastAsia="Arial"/>
      <w:sz w:val="34"/>
    </w:rPr>
  </w:style>
  <w:style w:type="paragraph" w:styleId="664">
    <w:name w:val="Heading 3"/>
    <w:basedOn w:val="836"/>
    <w:next w:val="836"/>
    <w:link w:val="6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5">
    <w:name w:val="Heading 3 Char"/>
    <w:link w:val="664"/>
    <w:uiPriority w:val="9"/>
    <w:rPr>
      <w:rFonts w:ascii="Arial" w:hAnsi="Arial" w:cs="Arial" w:eastAsia="Arial"/>
      <w:sz w:val="30"/>
      <w:szCs w:val="30"/>
    </w:rPr>
  </w:style>
  <w:style w:type="paragraph" w:styleId="666">
    <w:name w:val="Heading 4"/>
    <w:basedOn w:val="836"/>
    <w:next w:val="836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7">
    <w:name w:val="Heading 4 Char"/>
    <w:link w:val="666"/>
    <w:uiPriority w:val="9"/>
    <w:rPr>
      <w:rFonts w:ascii="Arial" w:hAnsi="Arial" w:cs="Arial" w:eastAsia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9">
    <w:name w:val="Heading 5 Char"/>
    <w:link w:val="668"/>
    <w:uiPriority w:val="9"/>
    <w:rPr>
      <w:rFonts w:ascii="Arial" w:hAnsi="Arial" w:cs="Arial" w:eastAsia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1">
    <w:name w:val="Heading 6 Char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3">
    <w:name w:val="Heading 7 Char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5">
    <w:name w:val="Heading 8 Char"/>
    <w:link w:val="674"/>
    <w:uiPriority w:val="9"/>
    <w:rPr>
      <w:rFonts w:ascii="Arial" w:hAnsi="Arial" w:cs="Arial" w:eastAsia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7">
    <w:name w:val="Heading 9 Char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qFormat/>
    <w:uiPriority w:val="11"/>
    <w:rPr>
      <w:sz w:val="24"/>
      <w:szCs w:val="24"/>
    </w:rPr>
    <w:pPr>
      <w:spacing w:after="200" w:before="200"/>
    </w:p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qFormat/>
    <w:uiPriority w:val="29"/>
    <w:rPr>
      <w:i/>
    </w:rPr>
    <w:pPr>
      <w:ind w:left="720" w:right="720"/>
    </w:p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1">
    <w:name w:val="Grid Table 4 - Accent 1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2">
    <w:name w:val="Grid Table 4 - Accent 2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3">
    <w:name w:val="Grid Table 4 - Accent 3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4">
    <w:name w:val="Grid Table 4 - Accent 4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5">
    <w:name w:val="Grid Table 4 - Accent 5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6">
    <w:name w:val="Grid Table 4 - Accent 6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7">
    <w:name w:val="Grid Table 5 Dark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8">
    <w:name w:val="Grid Table 5 Dark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31">
    <w:name w:val="Grid Table 5 Dark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32">
    <w:name w:val="Grid Table 5 Dark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3">
    <w:name w:val="Grid Table 5 Dark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4">
    <w:name w:val="Grid Table 6 Colorful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6">
    <w:name w:val="List Table 2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7">
    <w:name w:val="List Table 2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8">
    <w:name w:val="List Table 2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9">
    <w:name w:val="List Table 2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0">
    <w:name w:val="List Table 2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1">
    <w:name w:val="List Table 2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2">
    <w:name w:val="List Table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4">
    <w:name w:val="List Table 6 Colorful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5">
    <w:name w:val="List Table 6 Colorful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6">
    <w:name w:val="List Table 6 Colorful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7">
    <w:name w:val="List Table 6 Colorful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8">
    <w:name w:val="List Table 6 Colorful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9">
    <w:name w:val="List Table 6 Colorful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0">
    <w:name w:val="List Table 7 Colorful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8">
    <w:name w:val="Lined - Accent 1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9">
    <w:name w:val="Lined - Accent 2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0">
    <w:name w:val="Lined - Accent 3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1">
    <w:name w:val="Lined - Accent 4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2">
    <w:name w:val="Lined - Accent 5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3">
    <w:name w:val="Lined - Accent 6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4">
    <w:name w:val="Bordered &amp; Lined - Accent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5">
    <w:name w:val="Bordered &amp; Lined - Accent 1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6">
    <w:name w:val="Bordered &amp; Lined - Accent 2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7">
    <w:name w:val="Bordered &amp; Lined - Accent 3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8">
    <w:name w:val="Bordered &amp; Lined - Accent 4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9">
    <w:name w:val="Bordered &amp; Lined - Accent 5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0">
    <w:name w:val="Bordered &amp; Lined - Accent 6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1">
    <w:name w:val="Bordered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2">
    <w:name w:val="Bordered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3">
    <w:name w:val="Bordered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4">
    <w:name w:val="Bordered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5">
    <w:name w:val="Bordered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6">
    <w:name w:val="Bordered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7">
    <w:name w:val="Bordered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rPr>
      <w:sz w:val="18"/>
    </w:rPr>
    <w:pPr>
      <w:spacing w:lineRule="auto" w:line="240" w:after="40"/>
    </w:p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rPr>
      <w:sz w:val="20"/>
    </w:rPr>
    <w:pPr>
      <w:spacing w:lineRule="auto" w:line="240" w:after="0"/>
    </w:p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qFormat/>
    <w:uiPriority w:val="1"/>
    <w:pPr>
      <w:spacing w:lineRule="auto" w:line="240" w:after="0"/>
    </w:pPr>
  </w:style>
  <w:style w:type="paragraph" w:styleId="840">
    <w:name w:val="List Paragraph"/>
    <w:basedOn w:val="836"/>
    <w:qFormat/>
    <w:uiPriority w:val="34"/>
    <w:pPr>
      <w:contextualSpacing w:val="true"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business.lesechos.fr/entrepreneurs/franchise/efra-00053836-le-roi-des-sandwiches-n-est-plus-le-jambon-beurre-319722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Biechlin Vincent</cp:lastModifiedBy>
  <cp:revision>3</cp:revision>
  <dcterms:modified xsi:type="dcterms:W3CDTF">2021-10-22T13:35:14Z</dcterms:modified>
</cp:coreProperties>
</file>