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tabs>
          <w:tab w:val="left" w:pos="1661" w:leader="none"/>
        </w:tabs>
        <w:rPr>
          <w:rFonts w:ascii="Arial" w:hAnsi="Arial" w:cs="Arial" w:eastAsia="Arial"/>
          <w:b/>
          <w:color w:val="000000"/>
          <w:sz w:val="24"/>
          <w:highlight w:val="none"/>
        </w:rPr>
      </w:pPr>
      <w:r>
        <w:rPr>
          <w:rFonts w:ascii="Arial" w:hAnsi="Arial" w:cs="Arial" w:eastAsia="Arial"/>
          <w:b/>
          <w:color w:val="000000"/>
          <w:sz w:val="24"/>
          <w:highlight w:val="none"/>
        </w:rPr>
        <w:t xml:space="preserve">Groupe de travail local - Belfort / Héricourt / Montbéliard</w:t>
      </w:r>
      <w:r>
        <w:rPr>
          <w:rFonts w:ascii="Arial" w:hAnsi="Arial" w:cs="Arial" w:eastAsia="Arial"/>
          <w:b/>
          <w:color w:val="000000"/>
          <w:sz w:val="24"/>
          <w:highlight w:val="none"/>
        </w:rPr>
      </w:r>
    </w:p>
    <w:p>
      <w:pPr>
        <w:jc w:val="center"/>
        <w:tabs>
          <w:tab w:val="left" w:pos="1661" w:leader="none"/>
        </w:tabs>
        <w:rPr>
          <w:rFonts w:ascii="Arial" w:hAnsi="Arial" w:cs="Arial" w:eastAsia="Arial"/>
          <w:b/>
          <w:color w:val="000000"/>
          <w:sz w:val="24"/>
          <w:highlight w:val="none"/>
        </w:rPr>
      </w:pPr>
      <w:r>
        <w:rPr>
          <w:rFonts w:ascii="Arial" w:hAnsi="Arial" w:cs="Arial" w:eastAsia="Arial"/>
          <w:b/>
          <w:color w:val="000000"/>
          <w:sz w:val="24"/>
          <w:highlight w:val="none"/>
        </w:rPr>
        <w:t xml:space="preserve">Journée de formation : jeudi 16 décembre 2021</w:t>
      </w:r>
      <w:r>
        <w:rPr>
          <w:rFonts w:ascii="Arial" w:hAnsi="Arial" w:cs="Arial" w:eastAsia="Arial"/>
          <w:b/>
          <w:color w:val="000000"/>
          <w:sz w:val="24"/>
          <w:highlight w:val="none"/>
        </w:rPr>
      </w:r>
    </w:p>
    <w:p>
      <w:pPr>
        <w:jc w:val="center"/>
        <w:tabs>
          <w:tab w:val="left" w:pos="1661" w:leader="none"/>
        </w:tabs>
        <w:rPr>
          <w:rFonts w:ascii="Arial" w:hAnsi="Arial" w:cs="Arial" w:eastAsia="Arial"/>
          <w:b/>
          <w:i/>
          <w:color w:val="000000"/>
          <w:sz w:val="24"/>
          <w:highlight w:val="none"/>
        </w:rPr>
      </w:pPr>
      <w:r>
        <w:rPr>
          <w:rFonts w:ascii="Arial" w:hAnsi="Arial" w:cs="Arial" w:eastAsia="Arial"/>
          <w:b/>
          <w:i/>
          <w:color w:val="000000"/>
          <w:sz w:val="24"/>
          <w:highlight w:val="none"/>
        </w:rPr>
        <w:t xml:space="preserve">Fiche préparée par Hanan El ouafi, Régis Coromina, Pierre Noël et Jérôme Philippe</w:t>
      </w:r>
      <w:r>
        <w:rPr>
          <w:rFonts w:ascii="Arial" w:hAnsi="Arial" w:cs="Arial" w:eastAsia="Arial"/>
          <w:b/>
          <w:i/>
          <w:color w:val="000000"/>
          <w:sz w:val="24"/>
          <w:highlight w:val="none"/>
        </w:rPr>
      </w:r>
    </w:p>
    <w:p>
      <w:pPr>
        <w:tabs>
          <w:tab w:val="left" w:pos="1661" w:leader="none"/>
        </w:tabs>
        <w:rPr>
          <w:rFonts w:ascii="Arial" w:hAnsi="Arial" w:cs="Arial" w:eastAsia="Arial"/>
          <w:sz w:val="24"/>
        </w:rPr>
      </w:pPr>
      <w:r>
        <w:rPr>
          <w:rFonts w:ascii="Arial" w:hAnsi="Arial" w:cs="Arial" w:eastAsia="Arial"/>
          <w:sz w:val="24"/>
        </w:rPr>
      </w:r>
      <w:r>
        <w:rPr>
          <w:rFonts w:ascii="Arial" w:hAnsi="Arial" w:cs="Arial" w:eastAsia="Arial"/>
          <w:sz w:val="24"/>
        </w:rPr>
      </w:r>
      <w:r/>
    </w:p>
    <w:tbl>
      <w:tblPr>
        <w:tblStyle w:val="46"/>
        <w:tblW w:w="0" w:type="auto"/>
        <w:tblLayout w:type="fixed"/>
        <w:tblLook w:val="04A0" w:firstRow="1" w:lastRow="0" w:firstColumn="1" w:lastColumn="0" w:noHBand="0" w:noVBand="1"/>
      </w:tblPr>
      <w:tblGrid>
        <w:gridCol w:w="2126"/>
        <w:gridCol w:w="8363"/>
      </w:tblGrid>
      <w:tr>
        <w:trPr/>
        <w:tc>
          <w:tcPr>
            <w:tcW w:w="2126" w:type="dxa"/>
            <w:textDirection w:val="lrTb"/>
            <w:noWrap w:val="false"/>
          </w:tcPr>
          <w:p>
            <w:pPr>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sz w:val="24"/>
              </w:rPr>
              <w:t xml:space="preserve">Chapitre seconde</w:t>
            </w:r>
            <w:r/>
            <w:r>
              <w:rPr>
                <w:rFonts w:ascii="Arial" w:hAnsi="Arial" w:cs="Arial" w:eastAsia="Arial"/>
                <w:color w:val="000000"/>
                <w:sz w:val="24"/>
                <w:highlight w:val="none"/>
              </w:rPr>
            </w:r>
            <w:r>
              <w:rPr>
                <w:rFonts w:ascii="Arial" w:hAnsi="Arial" w:cs="Arial" w:eastAsia="Arial"/>
                <w:color w:val="000000"/>
                <w:sz w:val="24"/>
                <w:highlight w:val="none"/>
              </w:rPr>
            </w:r>
          </w:p>
        </w:tc>
        <w:tc>
          <w:tcPr>
            <w:tcW w:w="8363" w:type="dxa"/>
            <w:textDirection w:val="lrTb"/>
            <w:noWrap w:val="false"/>
          </w:tcPr>
          <w:p>
            <w:pPr>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rPr>
              <w:t xml:space="preserve">Comment crée-t-on des richesses et comment les mesure-t-on ?</w:t>
            </w:r>
            <w:r/>
            <w:r>
              <w:rPr>
                <w:rFonts w:ascii="Arial" w:hAnsi="Arial" w:cs="Arial" w:eastAsia="Arial"/>
                <w:color w:val="000000"/>
                <w:sz w:val="24"/>
                <w:highlight w:val="none"/>
              </w:rPr>
            </w:r>
            <w:r>
              <w:rPr>
                <w:rFonts w:ascii="Arial" w:hAnsi="Arial" w:cs="Arial" w:eastAsia="Arial"/>
                <w:color w:val="000000"/>
                <w:sz w:val="24"/>
                <w:highlight w:val="none"/>
              </w:rPr>
            </w:r>
          </w:p>
        </w:tc>
      </w:tr>
      <w:tr>
        <w:trPr/>
        <w:tc>
          <w:tcPr>
            <w:tcW w:w="2126" w:type="dxa"/>
            <w:textDirection w:val="lrTb"/>
            <w:noWrap w:val="false"/>
          </w:tcPr>
          <w:p>
            <w:pPr>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highlight w:val="none"/>
              </w:rPr>
              <w:t xml:space="preserve">Format du travail en groupe</w:t>
            </w:r>
            <w:r/>
            <w:r>
              <w:rPr>
                <w:rFonts w:ascii="Arial" w:hAnsi="Arial" w:cs="Arial" w:eastAsia="Arial"/>
                <w:color w:val="000000"/>
                <w:sz w:val="24"/>
                <w:highlight w:val="none"/>
              </w:rPr>
            </w:r>
            <w:r>
              <w:rPr>
                <w:rFonts w:ascii="Arial" w:hAnsi="Arial" w:cs="Arial" w:eastAsia="Arial"/>
                <w:color w:val="000000"/>
                <w:sz w:val="24"/>
                <w:highlight w:val="none"/>
              </w:rPr>
            </w:r>
          </w:p>
        </w:tc>
        <w:tc>
          <w:tcPr>
            <w:tcW w:w="8363" w:type="dxa"/>
            <w:textDirection w:val="lrTb"/>
            <w:noWrap w:val="false"/>
          </w:tcPr>
          <w:p>
            <w:pPr>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highlight w:val="none"/>
              </w:rPr>
              <w:t xml:space="preserve">le briefing de binôme (Fiche 41 page 251 du livre «</w:t>
            </w:r>
            <w:hyperlink r:id="rId10" w:tooltip="https://www.reseau-canope.fr/notice/52-methodes.html" w:history="1">
              <w:r>
                <w:rPr>
                  <w:rStyle w:val="172"/>
                  <w:rFonts w:ascii="Arial" w:hAnsi="Arial" w:cs="Arial" w:eastAsia="Arial"/>
                  <w:sz w:val="24"/>
                  <w:highlight w:val="none"/>
                </w:rPr>
                <w:t xml:space="preserve"> 52 méthodes : pratiques pour enseigner</w:t>
              </w:r>
            </w:hyperlink>
            <w:r>
              <w:rPr>
                <w:rFonts w:ascii="Arial" w:hAnsi="Arial" w:cs="Arial" w:eastAsia="Arial"/>
                <w:color w:val="000000"/>
                <w:sz w:val="24"/>
                <w:highlight w:val="none"/>
              </w:rPr>
              <w:t xml:space="preserve"> », Canopé éditions).</w:t>
            </w:r>
            <w:r/>
            <w:r>
              <w:rPr>
                <w:rFonts w:ascii="Arial" w:hAnsi="Arial" w:cs="Arial" w:eastAsia="Arial"/>
                <w:color w:val="000000"/>
                <w:sz w:val="24"/>
                <w:highlight w:val="none"/>
              </w:rPr>
            </w:r>
            <w:r>
              <w:rPr>
                <w:rFonts w:ascii="Arial" w:hAnsi="Arial" w:cs="Arial" w:eastAsia="Arial"/>
                <w:color w:val="000000"/>
                <w:sz w:val="24"/>
                <w:highlight w:val="none"/>
              </w:rPr>
            </w:r>
          </w:p>
        </w:tc>
      </w:tr>
      <w:tr>
        <w:trPr/>
        <w:tc>
          <w:tcPr>
            <w:tcW w:w="2126" w:type="dxa"/>
            <w:textDirection w:val="lrTb"/>
            <w:noWrap w:val="false"/>
          </w:tcPr>
          <w:p>
            <w:pPr>
              <w:rPr>
                <w:rFonts w:ascii="Arial" w:hAnsi="Arial" w:cs="Arial" w:eastAsia="Arial"/>
                <w:color w:val="000000"/>
                <w:sz w:val="24"/>
                <w:highlight w:val="none"/>
              </w:rPr>
            </w:pPr>
            <w:r>
              <w:rPr>
                <w:rFonts w:ascii="Arial" w:hAnsi="Arial" w:cs="Arial" w:eastAsia="Arial"/>
                <w:color w:val="000000"/>
                <w:sz w:val="24"/>
                <w:highlight w:val="none"/>
              </w:rPr>
              <w:t xml:space="preserve">Objectifs</w:t>
            </w:r>
            <w:r>
              <w:rPr>
                <w:rFonts w:ascii="Arial" w:hAnsi="Arial" w:cs="Arial" w:eastAsia="Arial"/>
                <w:color w:val="000000"/>
                <w:sz w:val="24"/>
                <w:highlight w:val="none"/>
              </w:rPr>
            </w:r>
          </w:p>
        </w:tc>
        <w:tc>
          <w:tcPr>
            <w:tcW w:w="8363" w:type="dxa"/>
            <w:textDirection w:val="lrTb"/>
            <w:noWrap w:val="false"/>
          </w:tcPr>
          <w:p>
            <w:pPr>
              <w:pStyle w:val="602"/>
              <w:numPr>
                <w:ilvl w:val="0"/>
                <w:numId w:val="1"/>
              </w:numPr>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t xml:space="preserve">Savoir : Notions essentielles présentes dans les objectifs d’apprentissage</w:t>
            </w:r>
            <w:r>
              <w:rPr>
                <w:rFonts w:ascii="Arial" w:hAnsi="Arial" w:cs="Arial" w:eastAsia="Arial"/>
                <w:color w:val="000000"/>
                <w:sz w:val="24"/>
                <w:highlight w:val="none"/>
              </w:rPr>
            </w:r>
          </w:p>
          <w:p>
            <w:pPr>
              <w:pStyle w:val="602"/>
              <w:numPr>
                <w:ilvl w:val="0"/>
                <w:numId w:val="1"/>
              </w:numPr>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t xml:space="preserve">Savoir faire : prendre la parole en public pour exposer une réponse</w:t>
            </w:r>
            <w:r>
              <w:rPr>
                <w:rFonts w:ascii="Arial" w:hAnsi="Arial" w:cs="Arial" w:eastAsia="Arial"/>
                <w:color w:val="000000"/>
                <w:sz w:val="24"/>
                <w:highlight w:val="none"/>
              </w:rPr>
            </w:r>
          </w:p>
          <w:p>
            <w:pPr>
              <w:pStyle w:val="602"/>
              <w:numPr>
                <w:ilvl w:val="0"/>
                <w:numId w:val="1"/>
              </w:numPr>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t xml:space="preserve">Compétence sociale : savoir communiquer efficacement / savoir gérer ses émotions</w:t>
            </w:r>
            <w:r>
              <w:rPr>
                <w:rFonts w:ascii="Arial" w:hAnsi="Arial" w:cs="Arial" w:eastAsia="Arial"/>
                <w:color w:val="000000"/>
                <w:sz w:val="24"/>
                <w:highlight w:val="none"/>
              </w:rPr>
            </w:r>
          </w:p>
        </w:tc>
      </w:tr>
    </w:tbl>
    <w:p>
      <w:pPr>
        <w:tabs>
          <w:tab w:val="left" w:pos="1661" w:leader="none"/>
        </w:tabs>
        <w:rPr>
          <w:rFonts w:ascii="Arial" w:hAnsi="Arial" w:cs="Arial" w:eastAsia="Arial"/>
          <w:sz w:val="24"/>
          <w:highlight w:val="none"/>
        </w:rPr>
      </w:pPr>
      <w:r>
        <w:rPr>
          <w:rFonts w:ascii="Arial" w:hAnsi="Arial" w:cs="Arial" w:eastAsia="Arial"/>
          <w:sz w:val="24"/>
        </w:rPr>
        <w:t xml:space="preserve"> </w:t>
      </w:r>
      <w:r>
        <w:rPr>
          <w:rFonts w:ascii="Arial" w:hAnsi="Arial" w:cs="Arial" w:eastAsia="Arial"/>
          <w:color w:val="000000"/>
          <w:sz w:val="24"/>
        </w:rPr>
      </w:r>
      <w:r>
        <w:rPr>
          <w:rFonts w:ascii="Arial" w:hAnsi="Arial" w:cs="Arial" w:eastAsia="Arial"/>
          <w:sz w:val="24"/>
        </w:rPr>
      </w:r>
    </w:p>
    <w:p>
      <w:pPr>
        <w:tabs>
          <w:tab w:val="left" w:pos="1661" w:leader="none"/>
        </w:tabs>
        <w:rPr>
          <w:rFonts w:ascii="Arial" w:hAnsi="Arial" w:cs="Arial" w:eastAsia="Arial"/>
          <w:sz w:val="24"/>
          <w:highlight w:val="yellow"/>
        </w:rPr>
      </w:pPr>
      <w:r>
        <w:rPr>
          <w:rFonts w:ascii="Arial" w:hAnsi="Arial" w:cs="Arial" w:eastAsia="Arial"/>
          <w:sz w:val="24"/>
          <w:highlight w:val="yellow"/>
        </w:rPr>
        <w:t xml:space="preserve">I - ORGANISATION MATERIELLE</w:t>
      </w:r>
      <w:r>
        <w:rPr>
          <w:rFonts w:ascii="Arial" w:hAnsi="Arial" w:cs="Arial" w:eastAsia="Arial"/>
          <w:sz w:val="24"/>
          <w:highlight w:val="yellow"/>
        </w:rPr>
      </w:r>
    </w:p>
    <w:p>
      <w:pPr>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Le travail de groupe interviendra en fin de chacune des 3 parties du chapitre portant sur les richesses en classe de seconde, dont voici résumées les 3 entrées principales :</w:t>
      </w:r>
      <w:r>
        <w:rPr>
          <w:rFonts w:ascii="Arial" w:hAnsi="Arial" w:cs="Arial" w:eastAsia="Arial"/>
          <w:sz w:val="24"/>
          <w:highlight w:val="none"/>
        </w:rPr>
      </w:r>
    </w:p>
    <w:p>
      <w:pPr>
        <w:pStyle w:val="602"/>
        <w:numPr>
          <w:ilvl w:val="0"/>
          <w:numId w:val="4"/>
        </w:numPr>
        <w:ind w:left="720" w:firstLine="0"/>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Qui sont les producteurs ?</w:t>
      </w:r>
      <w:r>
        <w:rPr>
          <w:rFonts w:ascii="Arial" w:hAnsi="Arial" w:cs="Arial" w:eastAsia="Arial"/>
          <w:sz w:val="24"/>
          <w:highlight w:val="none"/>
        </w:rPr>
      </w:r>
    </w:p>
    <w:p>
      <w:pPr>
        <w:pStyle w:val="602"/>
        <w:numPr>
          <w:ilvl w:val="0"/>
          <w:numId w:val="4"/>
        </w:numPr>
        <w:ind w:left="720" w:firstLine="0"/>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Comment mesure-t-on les richesses ?</w:t>
      </w:r>
      <w:r>
        <w:rPr>
          <w:rFonts w:ascii="Arial" w:hAnsi="Arial" w:cs="Arial" w:eastAsia="Arial"/>
          <w:sz w:val="24"/>
          <w:highlight w:val="none"/>
        </w:rPr>
      </w:r>
    </w:p>
    <w:p>
      <w:pPr>
        <w:pStyle w:val="602"/>
        <w:numPr>
          <w:ilvl w:val="0"/>
          <w:numId w:val="4"/>
        </w:numPr>
        <w:ind w:left="720" w:firstLine="0"/>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Quelles sont les limites à la production ?</w:t>
      </w:r>
      <w:r>
        <w:rPr>
          <w:rFonts w:ascii="Arial" w:hAnsi="Arial" w:cs="Arial" w:eastAsia="Arial"/>
          <w:sz w:val="24"/>
          <w:highlight w:val="none"/>
        </w:rPr>
      </w:r>
    </w:p>
    <w:p>
      <w:pPr>
        <w:ind w:left="0" w:firstLine="0"/>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le TG sera un briefing de binôme qui mobilisera donc 2 élèves, </w:t>
      </w:r>
      <w:r/>
    </w:p>
    <w:p>
      <w:pPr>
        <w:ind w:left="0" w:firstLine="0"/>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10 minutes / en silence / seul : chacun travaille sur son document qui porte sur la partie en question. Chaque membre du binôme a un document différent. Il doit répondre à une question précise sur le document</w:t>
      </w:r>
      <w:r>
        <w:rPr>
          <w:rFonts w:ascii="Arial" w:hAnsi="Arial" w:cs="Arial" w:eastAsia="Arial"/>
          <w:sz w:val="24"/>
          <w:highlight w:val="none"/>
        </w:rPr>
      </w:r>
    </w:p>
    <w:p>
      <w:pPr>
        <w:ind w:left="0" w:firstLine="0"/>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5 minutes / oral / à deux (donc environ 17 binômes en même temps) : chacun présente à son binôme en étant debout la réponse à sa question. Le binôme tient une grille d’évaluation de la prestation orale. Bien penser à faire commencer les briefings en même temps. les 5 minutes se décomposent ainsi : 1 à 2 minutes de présentation / 1 minute d’évaluation / 1 à 2 minutes de présentation / 1 minute d’évaluation</w:t>
      </w:r>
      <w:r>
        <w:rPr>
          <w:rFonts w:ascii="Arial" w:hAnsi="Arial" w:cs="Arial" w:eastAsia="Arial"/>
          <w:sz w:val="24"/>
          <w:highlight w:val="none"/>
        </w:rPr>
      </w:r>
    </w:p>
    <w:p>
      <w:pPr>
        <w:ind w:left="0" w:firstLine="0"/>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5 minutes / oral / classe entière : un binôme se désigne comme volontaire pour présenter les résultats de leur travail. L’enseignant tient une évaluation du binôme volontaire.</w:t>
      </w:r>
      <w:r>
        <w:rPr>
          <w:rFonts w:ascii="Arial" w:hAnsi="Arial" w:cs="Arial" w:eastAsia="Arial"/>
          <w:sz w:val="24"/>
          <w:highlight w:val="none"/>
        </w:rPr>
      </w:r>
    </w:p>
    <w:p>
      <w:pPr>
        <w:ind w:left="0" w:firstLine="0"/>
        <w:jc w:val="both"/>
        <w:tabs>
          <w:tab w:val="left" w:pos="1661" w:leader="none"/>
        </w:tabs>
        <w:rPr>
          <w:rFonts w:ascii="Arial" w:hAnsi="Arial" w:cs="Arial" w:eastAsia="Arial"/>
          <w:sz w:val="24"/>
          <w:highlight w:val="none"/>
        </w:rPr>
      </w:pPr>
      <w:r>
        <w:rPr>
          <w:rFonts w:ascii="Arial" w:hAnsi="Arial" w:cs="Arial" w:eastAsia="Arial"/>
          <w:sz w:val="24"/>
          <w:highlight w:val="none"/>
        </w:rPr>
      </w:r>
      <w:r>
        <w:rPr>
          <w:rFonts w:ascii="Arial" w:hAnsi="Arial" w:cs="Arial" w:eastAsia="Arial"/>
          <w:sz w:val="24"/>
          <w:highlight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yellow"/>
        </w:rPr>
        <w:t xml:space="preserve">II - APPORTS POUR LES ELEVES </w:t>
      </w:r>
      <w:r>
        <w:rPr>
          <w:rFonts w:ascii="Arial" w:hAnsi="Arial" w:cs="Arial" w:eastAsia="Arial"/>
          <w:sz w:val="24"/>
          <w:highlight w:val="none"/>
        </w:rPr>
      </w:r>
    </w:p>
    <w:p>
      <w:pPr>
        <w:jc w:val="both"/>
        <w:tabs>
          <w:tab w:val="left" w:pos="1661" w:leader="none"/>
        </w:tabs>
        <w:rPr>
          <w:rFonts w:ascii="Arial" w:hAnsi="Arial" w:cs="Arial" w:eastAsia="Arial"/>
          <w:sz w:val="24"/>
          <w:highlight w:val="none"/>
          <w:u w:val="none"/>
        </w:rPr>
      </w:pPr>
      <w:r>
        <w:rPr>
          <w:rFonts w:ascii="Arial" w:hAnsi="Arial" w:cs="Arial" w:eastAsia="Arial"/>
          <w:sz w:val="24"/>
          <w:highlight w:val="none"/>
          <w:u w:val="single"/>
        </w:rPr>
        <w:t xml:space="preserve">Apport en terme de savoirs :</w:t>
      </w:r>
      <w:r>
        <w:rPr>
          <w:rFonts w:ascii="Arial" w:hAnsi="Arial" w:cs="Arial" w:eastAsia="Arial"/>
          <w:sz w:val="24"/>
          <w:highlight w:val="none"/>
          <w:u w:val="none"/>
        </w:rPr>
        <w:t xml:space="preserve"> </w:t>
      </w:r>
      <w:r>
        <w:rPr>
          <w:rFonts w:ascii="Arial" w:hAnsi="Arial" w:cs="Arial" w:eastAsia="Arial"/>
          <w:i/>
          <w:sz w:val="24"/>
          <w:highlight w:val="none"/>
          <w:u w:val="none"/>
        </w:rPr>
        <w:t xml:space="preserve">Il représente une mobilisation de connaissances déjà acquises.</w:t>
      </w:r>
      <w:r>
        <w:rPr>
          <w:rFonts w:ascii="Arial" w:hAnsi="Arial" w:cs="Arial" w:eastAsia="Arial"/>
          <w:sz w:val="24"/>
          <w:highlight w:val="none"/>
          <w:u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&gt;&gt;&gt; A l’issue chaque breifing de binôme, toute la classe réalisera une activité de synthèse à travers un exercice permettant de retrouver les éléments essentiels de la partie concernée. </w:t>
      </w:r>
      <w:r>
        <w:rPr>
          <w:rFonts w:ascii="Arial" w:hAnsi="Arial" w:cs="Arial" w:eastAsia="Arial"/>
          <w:sz w:val="24"/>
          <w:highlight w:val="none"/>
        </w:rPr>
        <w:t xml:space="preserve">Cette activité de synthèse viendra remplir le cours de l’élève avant de passer à la partie suivante.</w:t>
      </w:r>
      <w:r>
        <w:rPr>
          <w:rFonts w:ascii="Arial" w:hAnsi="Arial" w:cs="Arial" w:eastAsia="Arial"/>
          <w:sz w:val="24"/>
          <w:highlight w:val="none"/>
        </w:rPr>
      </w:r>
    </w:p>
    <w:p>
      <w:pPr>
        <w:jc w:val="both"/>
        <w:tabs>
          <w:tab w:val="left" w:pos="1661" w:leader="none"/>
        </w:tabs>
        <w:rPr>
          <w:rFonts w:ascii="Arial" w:hAnsi="Arial" w:cs="Arial" w:eastAsia="Arial"/>
          <w:sz w:val="24"/>
          <w:highlight w:val="none"/>
          <w:u w:val="none"/>
        </w:rPr>
      </w:pPr>
      <w:r>
        <w:rPr>
          <w:rFonts w:ascii="Arial" w:hAnsi="Arial" w:cs="Arial" w:eastAsia="Arial"/>
          <w:sz w:val="24"/>
          <w:highlight w:val="none"/>
        </w:rPr>
      </w:r>
      <w:r>
        <w:rPr>
          <w:rFonts w:ascii="Arial" w:hAnsi="Arial" w:cs="Arial" w:eastAsia="Arial"/>
          <w:sz w:val="24"/>
          <w:highlight w:val="none"/>
          <w:u w:val="single"/>
        </w:rPr>
        <w:t xml:space="preserve">Apport en terme de savoir-faire :</w:t>
      </w:r>
      <w:r>
        <w:rPr>
          <w:rFonts w:ascii="Arial" w:hAnsi="Arial" w:cs="Arial" w:eastAsia="Arial"/>
          <w:sz w:val="24"/>
          <w:highlight w:val="none"/>
          <w:u w:val="none"/>
        </w:rPr>
        <w:t xml:space="preserve"> </w:t>
      </w:r>
      <w:r>
        <w:rPr>
          <w:rFonts w:ascii="Arial" w:hAnsi="Arial" w:cs="Arial" w:eastAsia="Arial"/>
          <w:i/>
          <w:sz w:val="24"/>
          <w:highlight w:val="none"/>
          <w:u w:val="none"/>
        </w:rPr>
        <w:t xml:space="preserve">Il porte sur les techniques orales de prise de parole en public</w:t>
      </w:r>
      <w:r>
        <w:rPr>
          <w:rFonts w:ascii="Arial" w:hAnsi="Arial" w:cs="Arial" w:eastAsia="Arial"/>
          <w:sz w:val="24"/>
          <w:highlight w:val="none"/>
        </w:rPr>
      </w:r>
      <w:r>
        <w:rPr>
          <w:rFonts w:ascii="Arial" w:hAnsi="Arial" w:cs="Arial" w:eastAsia="Arial"/>
          <w:sz w:val="24"/>
          <w:highlight w:val="none"/>
          <w:u w:val="none"/>
        </w:rPr>
      </w:r>
    </w:p>
    <w:p>
      <w:pPr>
        <w:jc w:val="both"/>
        <w:tabs>
          <w:tab w:val="left" w:pos="1661" w:leader="none"/>
        </w:tabs>
        <w:rPr>
          <w:rFonts w:ascii="Arial" w:hAnsi="Arial" w:cs="Arial" w:eastAsia="Arial"/>
          <w:sz w:val="24"/>
          <w:highlight w:val="none"/>
          <w:u w:val="none"/>
        </w:rPr>
      </w:pPr>
      <w:r>
        <w:rPr>
          <w:rFonts w:ascii="Arial" w:hAnsi="Arial" w:cs="Arial" w:eastAsia="Arial"/>
          <w:sz w:val="24"/>
          <w:highlight w:val="none"/>
          <w:u w:val="none"/>
        </w:rPr>
        <w:t xml:space="preserve">&gt;&gt;&gt; A l’issue de la présentation par son binôme, un élève remplit une fiche d’évaluation de quelques critères de cette prise de parole (débit, diction, regard, détachement des notes).</w:t>
      </w:r>
      <w:r>
        <w:rPr>
          <w:rFonts w:ascii="Arial" w:hAnsi="Arial" w:cs="Arial" w:eastAsia="Arial"/>
          <w:sz w:val="24"/>
          <w:highlight w:val="none"/>
          <w:u w:val="none"/>
        </w:rPr>
      </w:r>
    </w:p>
    <w:p>
      <w:pPr>
        <w:jc w:val="both"/>
        <w:tabs>
          <w:tab w:val="left" w:pos="1661" w:leader="none"/>
        </w:tabs>
        <w:rPr>
          <w:rFonts w:ascii="Arial" w:hAnsi="Arial" w:cs="Arial" w:eastAsia="Arial"/>
          <w:sz w:val="24"/>
          <w:highlight w:val="none"/>
          <w:u w:val="none"/>
        </w:rPr>
      </w:pPr>
      <w:r>
        <w:rPr>
          <w:rFonts w:ascii="Arial" w:hAnsi="Arial" w:cs="Arial" w:eastAsia="Arial"/>
          <w:sz w:val="24"/>
          <w:highlight w:val="none"/>
          <w:u w:val="single"/>
        </w:rPr>
        <w:t xml:space="preserve">Apport en terme de compétence sociale</w:t>
      </w:r>
      <w:r>
        <w:rPr>
          <w:rFonts w:ascii="Arial" w:hAnsi="Arial" w:cs="Arial" w:eastAsia="Arial"/>
          <w:sz w:val="24"/>
          <w:highlight w:val="none"/>
          <w:u w:val="none"/>
        </w:rPr>
        <w:t xml:space="preserve"> : </w:t>
      </w:r>
      <w:r>
        <w:rPr>
          <w:rFonts w:ascii="Arial" w:hAnsi="Arial" w:cs="Arial" w:eastAsia="Arial"/>
          <w:i/>
          <w:sz w:val="24"/>
          <w:highlight w:val="none"/>
          <w:u w:val="none"/>
        </w:rPr>
        <w:t xml:space="preserve">Il porte sur le temps du breifing et engage le fait de faire face à la prise de risque devant son binôme.</w:t>
      </w:r>
      <w:r>
        <w:rPr>
          <w:rFonts w:ascii="Arial" w:hAnsi="Arial" w:cs="Arial" w:eastAsia="Arial"/>
          <w:sz w:val="24"/>
          <w:highlight w:val="none"/>
          <w:u w:val="none"/>
        </w:rPr>
      </w:r>
    </w:p>
    <w:p>
      <w:pPr>
        <w:jc w:val="both"/>
        <w:tabs>
          <w:tab w:val="left" w:pos="1661" w:leader="none"/>
        </w:tabs>
        <w:rPr>
          <w:rFonts w:ascii="Arial" w:hAnsi="Arial" w:cs="Arial" w:eastAsia="Arial"/>
          <w:sz w:val="24"/>
          <w:highlight w:val="none"/>
          <w:u w:val="none"/>
        </w:rPr>
      </w:pPr>
      <w:r>
        <w:rPr>
          <w:rFonts w:ascii="Arial" w:hAnsi="Arial" w:cs="Arial" w:eastAsia="Arial"/>
          <w:sz w:val="24"/>
          <w:highlight w:val="none"/>
          <w:u w:val="none"/>
        </w:rPr>
        <w:t xml:space="preserve">&gt;&gt;&gt; A l’issue de l’exercice de synthèse, demander aux élèves comment ils ont vécu l’activité du travail de groupe et ce qu’ils ont du dépasser pour parvenir à le réaliser.</w:t>
      </w:r>
      <w:r>
        <w:rPr>
          <w:rFonts w:ascii="Arial" w:hAnsi="Arial" w:cs="Arial" w:eastAsia="Arial"/>
          <w:sz w:val="24"/>
          <w:highlight w:val="none"/>
          <w:u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yellow"/>
        </w:rPr>
        <w:t xml:space="preserve">III - PROBLEMES / RISQUES EVENTUELS</w:t>
      </w:r>
      <w:r>
        <w:rPr>
          <w:rFonts w:ascii="Arial" w:hAnsi="Arial" w:cs="Arial" w:eastAsia="Arial"/>
          <w:sz w:val="24"/>
          <w:highlight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Le premier briefing engage un peu de temps pour expliquer les consignes clairement mais c’est du temps de gagner a priori sur les 2 fois suivantes.</w:t>
      </w:r>
      <w:r>
        <w:rPr>
          <w:rFonts w:ascii="Arial" w:hAnsi="Arial" w:cs="Arial" w:eastAsia="Arial"/>
          <w:sz w:val="24"/>
          <w:highlight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Le temps du </w:t>
      </w:r>
      <w:r>
        <w:rPr>
          <w:rFonts w:ascii="Arial" w:hAnsi="Arial" w:cs="Arial" w:eastAsia="Arial"/>
          <w:sz w:val="24"/>
          <w:highlight w:val="none"/>
        </w:rPr>
        <w:t xml:space="preserve">briefing </w:t>
      </w:r>
      <w:r/>
      <w:r>
        <w:rPr>
          <w:rFonts w:ascii="Arial" w:hAnsi="Arial" w:cs="Arial" w:eastAsia="Arial"/>
          <w:sz w:val="24"/>
          <w:highlight w:val="none"/>
        </w:rPr>
        <w:t xml:space="preserve">fait du bruit dans la classe. C’est normal mais ça peut surprendre, notamment les profs des classes voisines. Les prévenir le cas échéant. </w:t>
      </w:r>
      <w:r>
        <w:rPr>
          <w:rFonts w:ascii="Arial" w:hAnsi="Arial" w:cs="Arial" w:eastAsia="Arial"/>
          <w:sz w:val="24"/>
          <w:highlight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Le temps de la présentation au reste de la classe peut aboutir à des peurs (pas de volontaire) ou des frustrés (trop de volontaire). insister sur le caractère complémentaire de la note pour le trimestre. Éventuellement comme un « bonus » pour la moyenne.</w:t>
      </w:r>
      <w:r>
        <w:rPr>
          <w:rFonts w:ascii="Arial" w:hAnsi="Arial" w:cs="Arial" w:eastAsia="Arial"/>
          <w:sz w:val="24"/>
          <w:highlight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Les passagers clandestins sont possibles mais vite repérés dans le travail individuel silencieux. Mettre un document similaire dans un DS bilan serait un moyen de rentabiliser le travail de groupe au fil du chapitre et d’inciter ainsi à ce travail d’entraînement.</w:t>
      </w:r>
      <w:r>
        <w:rPr>
          <w:rFonts w:ascii="Arial" w:hAnsi="Arial" w:cs="Arial" w:eastAsia="Arial"/>
          <w:sz w:val="24"/>
          <w:highlight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yellow"/>
        </w:rPr>
        <w:t xml:space="preserve">IV - FORMATION DU GROUPE</w:t>
      </w:r>
      <w:r>
        <w:rPr>
          <w:rFonts w:ascii="Arial" w:hAnsi="Arial" w:cs="Arial" w:eastAsia="Arial"/>
          <w:sz w:val="24"/>
          <w:highlight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Les groupes peuvent être formés librement et ce serait plus rentables pour l’activité car les élèves pourrait de briefing en briefing voir l’évolution de leur binôme et notamment les évaluations formatives au travers de la grille portant sur les critères de la prise de parole en public.</w:t>
      </w:r>
      <w:r>
        <w:rPr>
          <w:rFonts w:ascii="Arial" w:hAnsi="Arial" w:cs="Arial" w:eastAsia="Arial"/>
          <w:sz w:val="24"/>
          <w:highlight w:val="none"/>
        </w:rPr>
      </w:r>
    </w:p>
    <w:p>
      <w:pPr>
        <w:jc w:val="both"/>
        <w:tabs>
          <w:tab w:val="left" w:pos="1661" w:leader="none"/>
        </w:tabs>
        <w:rPr>
          <w:rFonts w:ascii="Arial" w:hAnsi="Arial" w:cs="Arial" w:eastAsia="Arial"/>
          <w:sz w:val="24"/>
          <w:highlight w:val="none"/>
        </w:rPr>
      </w:pPr>
      <w:r>
        <w:rPr>
          <w:rFonts w:ascii="Arial" w:hAnsi="Arial" w:cs="Arial" w:eastAsia="Arial"/>
          <w:sz w:val="24"/>
          <w:highlight w:val="none"/>
        </w:rPr>
        <w:t xml:space="preserve">Si l’on souhaite passer par des groupes pris au hasard, il est possible de poser un plan de classe pour la séance de cette activité afin de mixer les binômes.</w:t>
      </w:r>
      <w:r>
        <w:rPr>
          <w:rFonts w:ascii="Arial" w:hAnsi="Arial" w:cs="Arial" w:eastAsia="Arial"/>
          <w:sz w:val="24"/>
          <w:highlight w:val="none"/>
        </w:rPr>
      </w:r>
    </w:p>
    <w:p>
      <w:pPr>
        <w:jc w:val="both"/>
        <w:tabs>
          <w:tab w:val="left" w:pos="1661" w:leader="none"/>
        </w:tabs>
        <w:rPr>
          <w:rFonts w:ascii="Arial" w:hAnsi="Arial" w:cs="Arial" w:eastAsia="Arial"/>
          <w:color w:val="000000"/>
          <w:sz w:val="24"/>
          <w:highlight w:val="none"/>
        </w:rPr>
      </w:pPr>
      <w:r>
        <w:rPr>
          <w:rFonts w:ascii="Arial" w:hAnsi="Arial" w:cs="Arial" w:eastAsia="Arial"/>
          <w:sz w:val="24"/>
          <w:highlight w:val="yellow"/>
        </w:rPr>
        <w:t xml:space="preserve">V - EVALUATION DU TRAVAIL</w:t>
      </w:r>
      <w:r>
        <w:rPr>
          <w:rFonts w:ascii="Arial" w:hAnsi="Arial" w:cs="Arial" w:eastAsia="Arial"/>
          <w:sz w:val="24"/>
          <w:highlight w:val="none"/>
        </w:rPr>
      </w:r>
    </w:p>
    <w:p>
      <w:pPr>
        <w:jc w:val="both"/>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t xml:space="preserve">Comme évoquée précédemment, l’évaluation est de deux types :</w:t>
      </w:r>
      <w:r>
        <w:rPr>
          <w:rFonts w:ascii="Arial" w:hAnsi="Arial" w:cs="Arial" w:eastAsia="Arial"/>
          <w:color w:val="000000"/>
          <w:sz w:val="24"/>
          <w:highlight w:val="none"/>
        </w:rPr>
      </w:r>
    </w:p>
    <w:p>
      <w:pPr>
        <w:pStyle w:val="602"/>
        <w:numPr>
          <w:ilvl w:val="0"/>
          <w:numId w:val="5"/>
        </w:numPr>
        <w:jc w:val="both"/>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t xml:space="preserve">formative et entre pairs pendant l’activité : considérée comme un fil rouge entre les trois temps de briefing proposés pendant le chapitre.</w:t>
      </w:r>
      <w:r>
        <w:rPr>
          <w:rFonts w:ascii="Arial" w:hAnsi="Arial" w:cs="Arial" w:eastAsia="Arial"/>
          <w:color w:val="000000"/>
          <w:sz w:val="24"/>
          <w:highlight w:val="none"/>
        </w:rPr>
      </w:r>
    </w:p>
    <w:p>
      <w:pPr>
        <w:pStyle w:val="602"/>
        <w:numPr>
          <w:ilvl w:val="0"/>
          <w:numId w:val="5"/>
        </w:numPr>
        <w:jc w:val="both"/>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t xml:space="preserve">sommative par l’enseignant en fin d’activité : considérée comme un bonus pour les élèves volontaires.</w:t>
      </w:r>
      <w:r>
        <w:rPr>
          <w:rFonts w:ascii="Arial" w:hAnsi="Arial" w:cs="Arial" w:eastAsia="Arial"/>
          <w:color w:val="000000"/>
          <w:sz w:val="24"/>
          <w:highlight w:val="none"/>
        </w:rPr>
      </w:r>
    </w:p>
    <w:p>
      <w:pPr>
        <w:jc w:val="both"/>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highlight w:val="none"/>
        </w:rPr>
      </w:r>
    </w:p>
    <w:p>
      <w:pPr>
        <w:jc w:val="both"/>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highlight w:val="none"/>
        </w:rPr>
      </w:r>
    </w:p>
    <w:p>
      <w:pPr>
        <w:jc w:val="both"/>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highlight w:val="none"/>
        </w:rPr>
      </w:r>
    </w:p>
    <w:p>
      <w:pPr>
        <w:jc w:val="both"/>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highlight w:val="none"/>
        </w:rPr>
      </w:r>
    </w:p>
    <w:p>
      <w:pPr>
        <w:ind w:left="0" w:right="0" w:firstLine="0"/>
        <w:jc w:val="left"/>
        <w:spacing w:after="0" w:before="240"/>
        <w:pBdr>
          <w:left w:val="none" w:color="000000" w:sz="4" w:space="0"/>
          <w:top w:val="none" w:color="000000" w:sz="4" w:space="0"/>
          <w:right w:val="none" w:color="000000" w:sz="4" w:space="0"/>
          <w:bottom w:val="none" w:color="000000" w:sz="4" w:space="0"/>
        </w:pBdr>
      </w:pPr>
      <w:r>
        <w:br/>
        <w:br/>
        <w:br/>
        <w:br/>
        <w:br/>
        <w:br/>
        <w:br/>
        <w:br/>
        <w:br/>
        <w:br/>
        <w:br/>
        <w:br/>
        <w:br/>
        <w:br/>
        <w:br/>
        <w:br/>
        <w:br/>
        <w:br/>
        <w:br/>
        <w:br/>
        <w:br/>
        <w:br/>
        <w:br/>
      </w:r>
      <w:r/>
    </w:p>
    <w:p>
      <w:pPr>
        <w:ind w:left="0" w:right="0" w:firstLine="0"/>
        <w:spacing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Vrai ou faux ?</w:t>
      </w:r>
      <w:r/>
    </w:p>
    <w:p>
      <w:pPr>
        <w:pStyle w:val="602"/>
        <w:numPr>
          <w:ilvl w:val="0"/>
          <w:numId w:val="7"/>
        </w:numPr>
        <w:ind w:right="0"/>
        <w:spacing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Le PIB mesure correctement la répartition de richesses dans un pays. </w:t>
      </w:r>
      <w:r/>
    </w:p>
    <w:p>
      <w:pPr>
        <w:pStyle w:val="602"/>
        <w:numPr>
          <w:ilvl w:val="0"/>
          <w:numId w:val="7"/>
        </w:numPr>
        <w:ind w:right="0"/>
        <w:spacing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Le réchauffement climatique est directement lié aux activités productives et à la croissance économique.</w:t>
      </w:r>
      <w:r/>
    </w:p>
    <w:p>
      <w:pPr>
        <w:pStyle w:val="602"/>
        <w:numPr>
          <w:ilvl w:val="0"/>
          <w:numId w:val="7"/>
        </w:numPr>
        <w:ind w:right="0"/>
        <w:spacing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Le PIB ne prend pas en compte les atteintes à l'environnement générées par les productions.</w:t>
      </w:r>
      <w:r/>
    </w:p>
    <w:p>
      <w:pPr>
        <w:pStyle w:val="602"/>
        <w:numPr>
          <w:ilvl w:val="0"/>
          <w:numId w:val="7"/>
        </w:numPr>
        <w:ind w:right="0"/>
        <w:spacing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L'épuisement des ressources naturelles n'est pas une menace pour la croissance future.</w:t>
      </w:r>
      <w:r/>
    </w:p>
    <w:p>
      <w:pPr>
        <w:ind w:left="0" w:right="0" w:firstLine="0"/>
        <w:jc w:val="both"/>
        <w:spacing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sz w:val="24"/>
        </w:rPr>
      </w:r>
      <w:r/>
    </w:p>
    <w:p>
      <w:pPr>
        <w:jc w:val="both"/>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highlight w:val="none"/>
        </w:rPr>
      </w:r>
    </w:p>
    <w:p>
      <w:pPr>
        <w:jc w:val="both"/>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highlight w:val="none"/>
        </w:rPr>
      </w:r>
    </w:p>
    <w:p>
      <w:pPr>
        <w:tabs>
          <w:tab w:val="left" w:pos="1661" w:leader="none"/>
        </w:tabs>
        <w:rPr>
          <w:rFonts w:ascii="Arial" w:hAnsi="Arial" w:cs="Arial" w:eastAsia="Arial"/>
          <w:color w:val="000000"/>
          <w:sz w:val="24"/>
          <w:highlight w:val="none"/>
        </w:rPr>
      </w:pPr>
      <w:r>
        <w:rPr>
          <w:rFonts w:ascii="Arial" w:hAnsi="Arial" w:cs="Arial" w:eastAsia="Arial"/>
          <w:color w:val="000000"/>
          <w:sz w:val="24"/>
          <w:highlight w:val="none"/>
        </w:rPr>
      </w:r>
      <w:r>
        <w:rPr>
          <w:rFonts w:ascii="Arial" w:hAnsi="Arial" w:cs="Arial" w:eastAsia="Arial"/>
          <w:color w:val="000000"/>
          <w:sz w:val="24"/>
          <w:highlight w:val="none"/>
        </w:rPr>
      </w:r>
    </w:p>
    <w:p>
      <w:pPr>
        <w:tabs>
          <w:tab w:val="left" w:pos="1661" w:leader="none"/>
        </w:tabs>
        <w:rPr>
          <w:rFonts w:ascii="Arial" w:hAnsi="Arial" w:cs="Arial" w:eastAsia="Arial"/>
          <w:sz w:val="24"/>
        </w:rPr>
      </w:pPr>
      <w:r>
        <w:rPr>
          <w:rFonts w:ascii="Arial" w:hAnsi="Arial" w:cs="Arial" w:eastAsia="Arial"/>
          <w:color w:val="000000"/>
          <w:sz w:val="24"/>
          <w:highlight w:val="none"/>
        </w:rPr>
      </w:r>
      <w:r>
        <w:rPr>
          <w:rFonts w:ascii="Arial" w:hAnsi="Arial" w:cs="Arial" w:eastAsia="Arial"/>
          <w:color w:val="000000"/>
          <w:sz w:val="24"/>
          <w:highlight w:val="none"/>
        </w:rPr>
      </w:r>
    </w:p>
    <w:p>
      <w:pPr>
        <w:tabs>
          <w:tab w:val="left" w:pos="1661" w:leader="none"/>
        </w:tabs>
        <w:rPr>
          <w:sz w:val="24"/>
        </w:rPr>
      </w:pPr>
      <w:r>
        <w:rPr>
          <w:rFonts w:ascii="Arial" w:hAnsi="Arial" w:cs="Arial" w:eastAsia="Arial"/>
          <w:color w:val="000000"/>
          <w:sz w:val="24"/>
          <w:highlight w:val="none"/>
        </w:rPr>
      </w:r>
      <w:r>
        <w:rPr>
          <w:sz w:val="24"/>
        </w:rPr>
      </w:r>
    </w:p>
    <w:sectPr>
      <w:footnotePr/>
      <w:endnotePr/>
      <w:type w:val="nextPage"/>
      <w:pgSz w:w="11906" w:h="16838" w:orient="portrait"/>
      <w:pgMar w:top="1134" w:right="850" w:bottom="397"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www.reseau-canope.fr/notice/52-method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ONLYOFFICE/6.4.1.45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Coromina Regis</cp:lastModifiedBy>
  <cp:revision>1</cp:revision>
  <dcterms:modified xsi:type="dcterms:W3CDTF">2021-12-16T15:19:28Z</dcterms:modified>
</cp:coreProperties>
</file>