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bottom w:val="single" w:color="000000" w:sz="4" w:space="0"/>
        </w:pBdr>
      </w:pPr>
      <w:r>
        <w:rPr>
          <w:b/>
          <w:bCs/>
          <w:sz w:val="28"/>
          <w:szCs w:val="28"/>
        </w:rPr>
        <w:t xml:space="preserve">Exercice de remédiation terminale</w:t>
      </w:r>
      <w:r>
        <w:rPr>
          <w:b/>
          <w:bCs/>
          <w:sz w:val="28"/>
          <w:szCs w:val="28"/>
        </w:rPr>
      </w:r>
      <w:r/>
    </w:p>
    <w:tbl>
      <w:tblPr>
        <w:tblStyle w:val="668"/>
        <w:tblpPr w:horzAnchor="margin" w:tblpXSpec="left" w:vertAnchor="page" w:tblpY="1421" w:leftFromText="141" w:topFromText="0" w:rightFromText="141" w:bottomFromText="0"/>
        <w:tblW w:w="10630" w:type="dxa"/>
        <w:tblCellMar>
          <w:left w:w="51" w:type="dxa"/>
          <w:top w:w="0" w:type="dxa"/>
          <w:right w:w="51" w:type="dxa"/>
          <w:bottom w:w="0" w:type="dxa"/>
        </w:tblCellMar>
        <w:tblLook w:val="04A0" w:firstRow="1" w:lastRow="0" w:firstColumn="1" w:lastColumn="0" w:noHBand="0" w:noVBand="1"/>
      </w:tblPr>
      <w:tblGrid>
        <w:gridCol w:w="5334"/>
        <w:gridCol w:w="5237"/>
      </w:tblGrid>
      <w:tr>
        <w:trPr>
          <w:trHeight w:val="903"/>
        </w:trPr>
        <w:tc>
          <w:tcPr>
            <w:tcW w:w="5334" w:type="dxa"/>
            <w:textDirection w:val="lrTb"/>
            <w:noWrap w:val="false"/>
          </w:tcPr>
          <w:p>
            <w:pPr>
              <w:pStyle w:val="816"/>
              <w:ind w:hanging="360"/>
              <w:jc w:val="both"/>
              <w:rPr>
                <w:b w:val="0"/>
              </w:rPr>
            </w:pPr>
            <w:r>
              <w:t xml:space="preserve"> </w:t>
            </w:r>
            <w:r/>
            <w:r>
              <w:rPr>
                <w:b/>
                <w:bCs/>
              </w:rPr>
              <w:t xml:space="preserve">Chapitre :  </w:t>
            </w:r>
            <w:r>
              <w:rPr>
                <w:b w:val="0"/>
                <w:bCs/>
              </w:rPr>
              <w:t xml:space="preserve">Comment expliquer l’engagement politique dans les sociétés démocratiques ? </w:t>
            </w:r>
            <w:r>
              <w:rPr>
                <w:b w:val="0"/>
              </w:rPr>
            </w:r>
            <w:r/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16"/>
              <w:ind w:left="0"/>
              <w:jc w:val="both"/>
              <w:spacing w:before="240"/>
              <w:rPr>
                <w:b w:val="0"/>
              </w:rPr>
            </w:pPr>
            <w:r>
              <w:rPr>
                <w:b/>
                <w:bCs/>
              </w:rPr>
              <w:t xml:space="preserve">OA2 : </w:t>
            </w:r>
            <w:r>
              <w:rPr>
                <w:b w:val="0"/>
                <w:bCs/>
              </w:rPr>
              <w:t xml:space="preserve">Comprendre pourquoi les individus s’engagent (incitations sélectives, rétributions symboliques)</w:t>
            </w:r>
            <w:r>
              <w:rPr>
                <w:b w:val="0"/>
              </w:rPr>
            </w:r>
            <w:r/>
          </w:p>
        </w:tc>
      </w:tr>
      <w:tr>
        <w:trPr>
          <w:trHeight w:val="451"/>
        </w:trPr>
        <w:tc>
          <w:tcPr>
            <w:gridSpan w:val="2"/>
            <w:tcW w:w="10571" w:type="dxa"/>
            <w:vMerge w:val="restart"/>
            <w:textDirection w:val="lrTb"/>
            <w:noWrap w:val="false"/>
          </w:tcPr>
          <w:p>
            <w:pPr>
              <w:pStyle w:val="816"/>
              <w:ind w:left="0"/>
              <w:jc w:val="both"/>
              <w:spacing w:before="240"/>
            </w:pPr>
            <w:r>
              <w:rPr>
                <w:b/>
                <w:bCs/>
              </w:rPr>
              <w:t xml:space="preserve">Difficulté rencontrée par les élèves : </w:t>
            </w:r>
            <w:r>
              <w:rPr>
                <w:b/>
                <w:bCs/>
              </w:rPr>
            </w:r>
            <w:r/>
          </w:p>
          <w:p>
            <w:pPr>
              <w:rPr>
                <w:color w:val="4472C4"/>
              </w:rPr>
            </w:pPr>
            <w:r>
              <w:rPr>
                <w:color w:val="000000" w:themeColor="text1"/>
              </w:rPr>
              <w:t xml:space="preserve">distinguer et illustrer incitations sélectives et rétributions symboliques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51"/>
        </w:trPr>
        <w:tc>
          <w:tcPr>
            <w:tcW w:w="5334" w:type="dxa"/>
            <w:textDirection w:val="lrTb"/>
            <w:noWrap w:val="false"/>
          </w:tcPr>
          <w:p>
            <w:pPr>
              <w:pStyle w:val="816"/>
              <w:ind w:left="0"/>
              <w:jc w:val="both"/>
              <w:rPr>
                <w:b/>
                <w:highlight w:val="none"/>
              </w:rPr>
            </w:pPr>
            <w:r>
              <w:rPr>
                <w:b/>
                <w:bCs/>
              </w:rPr>
              <w:t xml:space="preserve">Temps de réalisation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 l’exercice : </w:t>
            </w:r>
            <w:r>
              <w:rPr>
                <w:b/>
                <w:bCs/>
              </w:rPr>
              <w:t xml:space="preserve"> (15 minutes maxi)</w:t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16"/>
              <w:ind w:left="0"/>
              <w:jc w:val="both"/>
              <w:rPr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15 minutes avec la vidéo en rappel de cours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pStyle w:val="816"/>
              <w:ind w:left="0"/>
              <w:jc w:val="both"/>
              <w:spacing w:before="240"/>
              <w:rPr>
                <w:b/>
                <w:highlight w:val="none"/>
              </w:rPr>
            </w:pPr>
            <w:r>
              <w:rPr>
                <w:b/>
                <w:bCs/>
              </w:rPr>
              <w:t xml:space="preserve">Niveau de d</w:t>
            </w:r>
            <w:r>
              <w:rPr>
                <w:b/>
                <w:bCs/>
              </w:rPr>
              <w:t xml:space="preserve">ifficulté</w:t>
            </w:r>
            <w:r>
              <w:rPr>
                <w:b/>
                <w:bCs/>
              </w:rPr>
              <w:t xml:space="preserve"> (de 1 (facile)</w:t>
            </w:r>
            <w:r>
              <w:rPr>
                <w:b/>
                <w:bCs/>
              </w:rPr>
              <w:t xml:space="preserve"> à 3 (difficile))</w:t>
            </w:r>
            <w:r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</w:r>
            <w:r/>
          </w:p>
          <w:p>
            <w:pPr>
              <w:pStyle w:val="816"/>
              <w:ind w:left="0"/>
              <w:jc w:val="both"/>
              <w:spacing w:before="240"/>
            </w:pPr>
            <w:r>
              <w:rPr>
                <w:b w:val="0"/>
                <w:bCs/>
                <w:highlight w:val="none"/>
              </w:rPr>
              <w:t xml:space="preserve">1</w:t>
            </w:r>
            <w:r>
              <w:rPr>
                <w:b/>
                <w:bCs/>
                <w:highlight w:val="none"/>
              </w:rPr>
            </w:r>
          </w:p>
        </w:tc>
      </w:tr>
      <w:tr>
        <w:trPr>
          <w:trHeight w:val="451"/>
        </w:trPr>
        <w:tc>
          <w:tcPr>
            <w:gridSpan w:val="2"/>
            <w:tcW w:w="10571" w:type="dxa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  <w:rPr>
                <w:highlight w:val="none"/>
              </w:rPr>
            </w:pPr>
            <w:r>
              <w:rPr>
                <w:b/>
                <w:bCs/>
              </w:rPr>
              <w:t xml:space="preserve">Exercice ou lien vers l’exercice</w:t>
            </w:r>
            <w:r>
              <w:rPr>
                <w:b/>
                <w:bCs/>
              </w:rPr>
              <w:t xml:space="preserve"> : </w:t>
            </w:r>
            <w:r>
              <w:rPr>
                <w:b/>
                <w:highlight w:val="none"/>
              </w:rPr>
            </w:r>
            <w:r/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16"/>
              <w:ind w:left="0"/>
              <w:jc w:val="both"/>
              <w:spacing w:before="240"/>
              <w:rPr>
                <w:b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Voir la vidéo ci-dessous :</w:t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16"/>
              <w:ind w:left="0"/>
              <w:jc w:val="both"/>
              <w:spacing w:before="240"/>
              <w:rPr>
                <w:b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hyperlink r:id="rId9" w:tooltip="https://www.youtube.com/watch?v=-orn2p922Ng" w:history="1">
              <w:r>
                <w:rPr>
                  <w:rStyle w:val="794"/>
                  <w:b/>
                  <w:bCs/>
                  <w:highlight w:val="none"/>
                </w:rPr>
                <w:t xml:space="preserve">https://www.youtube.com/watch?v=-orn2p922Ng</w:t>
              </w:r>
              <w:r>
                <w:rPr>
                  <w:rStyle w:val="794"/>
                  <w:b/>
                  <w:bCs/>
                  <w:highlight w:val="none"/>
                </w:rPr>
              </w:r>
              <w:r>
                <w:rPr>
                  <w:rStyle w:val="794"/>
                  <w:b/>
                  <w:bCs/>
                  <w:highlight w:val="none"/>
                </w:rPr>
              </w:r>
            </w:hyperlink>
            <w:r>
              <w:rPr>
                <w:b/>
                <w:bCs/>
                <w:highlight w:val="none"/>
              </w:rPr>
            </w:r>
          </w:p>
          <w:p>
            <w:pPr>
              <w:pStyle w:val="816"/>
              <w:ind w:left="0"/>
              <w:jc w:val="both"/>
              <w:spacing w:before="240"/>
              <w:rPr>
                <w:b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16"/>
              <w:ind w:left="0"/>
              <w:jc w:val="both"/>
              <w:spacing w:before="240"/>
              <w:rPr>
                <w:b/>
              </w:rPr>
            </w:pPr>
            <w:r>
              <w:rPr>
                <w:b/>
                <w:bCs/>
                <w:highlight w:val="none"/>
              </w:rPr>
              <w:t xml:space="preserve">A partir de la vidéo, rappeler les 2 définitions de : </w:t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16"/>
              <w:numPr>
                <w:ilvl w:val="0"/>
                <w:numId w:val="2"/>
              </w:numPr>
              <w:jc w:val="both"/>
              <w:spacing w:before="240"/>
              <w:rPr>
                <w:b w:val="0"/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Incitations sélectives positives et négatives </w:t>
            </w:r>
            <w:r>
              <w:rPr>
                <w:b w:val="0"/>
              </w:rPr>
            </w:r>
          </w:p>
          <w:p>
            <w:pPr>
              <w:pStyle w:val="816"/>
              <w:numPr>
                <w:ilvl w:val="0"/>
                <w:numId w:val="2"/>
              </w:numPr>
              <w:jc w:val="both"/>
              <w:spacing w:before="240"/>
              <w:rPr>
                <w:b w:val="0"/>
              </w:rPr>
            </w:pPr>
            <w:r>
              <w:rPr>
                <w:b w:val="0"/>
                <w:bCs/>
                <w:highlight w:val="none"/>
              </w:rPr>
            </w:r>
            <w:r>
              <w:rPr>
                <w:b w:val="0"/>
                <w:bCs/>
                <w:highlight w:val="none"/>
              </w:rPr>
              <w:t xml:space="preserve">Rétributions symboliques : </w:t>
            </w:r>
            <w:r>
              <w:rPr>
                <w:b w:val="0"/>
              </w:rPr>
            </w:r>
            <w:r/>
          </w:p>
          <w:tbl>
            <w:tblPr>
              <w:tblStyle w:val="66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4"/>
              <w:gridCol w:w="2681"/>
              <w:gridCol w:w="2333"/>
              <w:gridCol w:w="1571"/>
            </w:tblGrid>
            <w:tr>
              <w:trPr/>
              <w:tc>
                <w:tcPr>
                  <w:tcW w:w="5069" w:type="dxa"/>
                  <w:textDirection w:val="lrTb"/>
                  <w:noWrap w:val="false"/>
                </w:tcPr>
                <w:p>
                  <w:pPr>
                    <w:jc w:val="both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gridSpan w:val="2"/>
                  <w:tcW w:w="4628" w:type="dxa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Incitations sélectives</w:t>
                  </w: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contextualSpacing w:val="0"/>
                    <w:jc w:val="both"/>
                    <w:spacing w:before="96" w:after="0" w:line="283" w:lineRule="atLeast"/>
                    <w:rPr>
                      <w:b w:val="0"/>
                      <w:highlight w:val="none"/>
                    </w:rPr>
                    <w:suppressLineNumbers w:val="0"/>
                  </w:pPr>
                  <w:r>
                    <w:rPr>
                      <w:b w:val="0"/>
                      <w:highlight w:val="none"/>
                    </w:rPr>
                    <w:t xml:space="preserve">Rétributions</w:t>
                  </w:r>
                  <w:r>
                    <w:rPr>
                      <w:b w:val="0"/>
                      <w:highlight w:val="none"/>
                    </w:rPr>
                  </w:r>
                </w:p>
                <w:p>
                  <w:pPr>
                    <w:contextualSpacing w:val="0"/>
                    <w:jc w:val="both"/>
                    <w:spacing w:before="96" w:after="0" w:line="283" w:lineRule="atLeast"/>
                    <w:rPr>
                      <w:b w:val="0"/>
                      <w:highlight w:val="none"/>
                    </w:rPr>
                    <w:suppressLineNumbers w:val="0"/>
                  </w:pPr>
                  <w:r>
                    <w:rPr>
                      <w:b w:val="0"/>
                      <w:highlight w:val="none"/>
                    </w:rPr>
                    <w:t xml:space="preserve">symboliques</w:t>
                  </w:r>
                  <w:r>
                    <w:rPr>
                      <w:b w:val="0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W w:w="5069" w:type="dxa"/>
                  <w:textDirection w:val="lrTb"/>
                  <w:noWrap w:val="false"/>
                </w:tcPr>
                <w:p>
                  <w:pPr>
                    <w:jc w:val="both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681" w:type="dxa"/>
                  <w:textDirection w:val="lrTb"/>
                  <w:noWrap w:val="false"/>
                </w:tcPr>
                <w:p>
                  <w:pPr>
                    <w:jc w:val="left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Négatives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Positives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</w:rPr>
                  </w:pPr>
                  <w:r>
                    <w:rPr>
                      <w:b w:val="0"/>
                      <w:bCs/>
                    </w:rPr>
                    <w:t xml:space="preserve">Etre indemnisé pour fait de grève lorsqu’on est adhérent syndical</w:t>
                  </w: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Se sentir utile en étant bénévole au Restau du coeur</w:t>
                  </w:r>
                  <w:r>
                    <w:rPr>
                      <w:b w:val="0"/>
                      <w:bCs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</w:rPr>
                  </w:pPr>
                  <w:r>
                    <w:rPr>
                      <w:b w:val="0"/>
                      <w:bCs/>
                      <w:highlight w:val="none"/>
                    </w:rPr>
                    <w:t xml:space="preserve">Se sentir mal vu par des collègues si on ne participe pas à une grève</w:t>
                  </w:r>
                  <w:r>
                    <w:rPr>
                      <w:b w:val="0"/>
                      <w:bCs/>
                      <w:highlight w:val="none"/>
                    </w:rPr>
                  </w:r>
                  <w:r>
                    <w:rPr>
                      <w:b w:val="0"/>
                    </w:rPr>
                  </w:r>
                  <w:r>
                    <w:rPr>
                      <w:b w:val="0"/>
                      <w:bCs/>
                    </w:rPr>
                  </w:r>
                  <w:r>
                    <w:rPr>
                      <w:b w:val="0"/>
                      <w:bCs/>
                    </w:rPr>
                  </w:r>
                  <w:r>
                    <w:rPr>
                      <w:b w:val="0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  <w:bCs/>
                      <w:highlight w:val="none"/>
                    </w:rPr>
                  </w:pPr>
                  <w:r>
                    <w:rPr>
                      <w:b w:val="0"/>
                      <w:bCs/>
                      <w:highlight w:val="none"/>
                    </w:rPr>
                    <w:t xml:space="preserve">Adhérer à un syndicat dans le but d’obtenir un emploi</w:t>
                  </w:r>
                  <w:r>
                    <w:rPr>
                      <w:b w:val="0"/>
                      <w:bCs/>
                      <w:highlight w:val="none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  <w:bCs/>
                      <w:highlight w:val="none"/>
                    </w:rPr>
                  </w:pPr>
                  <w:r>
                    <w:rPr>
                      <w:b w:val="0"/>
                      <w:bCs/>
                      <w:highlight w:val="none"/>
                    </w:rPr>
                    <w:t xml:space="preserve">Devenir le responsable « actions » à Act Up </w:t>
                  </w:r>
                  <w:r>
                    <w:rPr>
                      <w:b w:val="0"/>
                      <w:bCs/>
                      <w:highlight w:val="none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  <w:bCs/>
                      <w:highlight w:val="none"/>
                    </w:rPr>
                  </w:pPr>
                  <w:r>
                    <w:rPr>
                      <w:b w:val="0"/>
                      <w:bCs/>
                      <w:highlight w:val="none"/>
                    </w:rPr>
                    <w:t xml:space="preserve">Une actrice devient ambassadrice des droits des femmes auprès de l’ONU</w:t>
                  </w:r>
                  <w:r>
                    <w:rPr>
                      <w:b w:val="0"/>
                      <w:bCs/>
                      <w:highlight w:val="none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  <w:bCs/>
                      <w:highlight w:val="none"/>
                    </w:rPr>
                  </w:pPr>
                  <w:r>
                    <w:rPr>
                      <w:b w:val="0"/>
                      <w:bCs/>
                      <w:highlight w:val="none"/>
                    </w:rPr>
                    <w:t xml:space="preserve">Des grévistes montent une chorale pour accompagner une manifestation</w:t>
                  </w:r>
                  <w:r>
                    <w:rPr>
                      <w:b w:val="0"/>
                      <w:bCs/>
                      <w:highlight w:val="none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  <w:tr>
              <w:trPr/>
              <w:tc>
                <w:tcPr>
                  <w:tcW w:w="506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before="240"/>
                    <w:rPr>
                      <w:b w:val="0"/>
                      <w:bCs/>
                      <w:highlight w:val="none"/>
                    </w:rPr>
                  </w:pPr>
                  <w:r>
                    <w:rPr>
                      <w:b w:val="0"/>
                      <w:bCs/>
                      <w:highlight w:val="none"/>
                    </w:rPr>
                    <w:t xml:space="preserve">Passer à la TV locale quand on est syndicaliste</w:t>
                  </w:r>
                  <w:r>
                    <w:rPr>
                      <w:b w:val="0"/>
                      <w:bCs/>
                      <w:highlight w:val="none"/>
                    </w:rPr>
                  </w:r>
                </w:p>
              </w:tc>
              <w:tc>
                <w:tcPr>
                  <w:tcW w:w="26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252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</w:r>
                  <w:r>
                    <w:rPr>
                      <w:b w:val="0"/>
                      <w:highlight w:val="none"/>
                    </w:rPr>
                  </w:r>
                </w:p>
              </w:tc>
              <w:tc>
                <w:tcPr>
                  <w:tcW w:w="1593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240"/>
                    <w:rPr>
                      <w:b w:val="0"/>
                      <w:highlight w:val="none"/>
                    </w:rPr>
                  </w:pPr>
                  <w:r>
                    <w:rPr>
                      <w:b w:val="0"/>
                      <w:highlight w:val="none"/>
                    </w:rPr>
                    <w:t xml:space="preserve">x</w:t>
                  </w:r>
                  <w:r>
                    <w:rPr>
                      <w:b w:val="0"/>
                      <w:highlight w:val="none"/>
                    </w:rPr>
                  </w:r>
                </w:p>
              </w:tc>
            </w:tr>
          </w:tbl>
          <w:p>
            <w:pPr>
              <w:ind w:left="0" w:firstLine="0"/>
              <w:jc w:val="both"/>
              <w:spacing w:before="240"/>
            </w:pPr>
            <w:r>
              <w:rPr>
                <w:b w:val="0"/>
                <w:bCs/>
                <w:highlight w:val="none"/>
              </w:rPr>
            </w:r>
            <w:r>
              <w:rPr>
                <w:b w:val="0"/>
                <w:bCs/>
                <w:highlight w:val="none"/>
              </w:rPr>
            </w:r>
          </w:p>
          <w:p>
            <w:pPr>
              <w:ind w:left="0" w:firstLine="0"/>
              <w:jc w:val="both"/>
              <w:spacing w:before="240"/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ind w:left="0" w:firstLine="0"/>
              <w:jc w:val="both"/>
              <w:spacing w:before="240"/>
              <w:rPr>
                <w:b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16"/>
              <w:ind w:left="0"/>
              <w:jc w:val="both"/>
              <w:spacing w:before="240"/>
            </w:pPr>
            <w:r/>
            <w:r/>
          </w:p>
          <w:p>
            <w:pPr>
              <w:pStyle w:val="816"/>
              <w:ind w:left="0"/>
              <w:jc w:val="both"/>
              <w:spacing w:before="240"/>
            </w:pPr>
            <w:r/>
            <w:r/>
          </w:p>
          <w:p>
            <w:pPr>
              <w:pStyle w:val="816"/>
              <w:ind w:left="0"/>
              <w:jc w:val="both"/>
              <w:spacing w:before="240"/>
            </w:pPr>
            <w:r/>
            <w:r/>
          </w:p>
          <w:p>
            <w:pPr>
              <w:pStyle w:val="816"/>
              <w:ind w:left="0"/>
              <w:jc w:val="both"/>
              <w:spacing w:before="240"/>
            </w:pPr>
            <w:r/>
            <w:r/>
          </w:p>
          <w:p>
            <w:pPr>
              <w:pStyle w:val="816"/>
              <w:ind w:left="0"/>
              <w:jc w:val="both"/>
              <w:spacing w:before="240"/>
            </w:pPr>
            <w:r/>
            <w:r/>
          </w:p>
          <w:p>
            <w:pPr>
              <w:pStyle w:val="816"/>
              <w:ind w:left="0"/>
              <w:jc w:val="both"/>
              <w:spacing w:before="240"/>
            </w:pPr>
            <w:r/>
            <w:r/>
          </w:p>
          <w:p>
            <w:pPr>
              <w:pStyle w:val="816"/>
              <w:ind w:left="0"/>
              <w:jc w:val="both"/>
              <w:spacing w:before="240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6"/>
              <w:ind w:left="0"/>
              <w:jc w:val="both"/>
              <w:spacing w:before="240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6"/>
              <w:ind w:left="0"/>
              <w:jc w:val="both"/>
              <w:spacing w:before="240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pStyle w:val="816"/>
              <w:ind w:left="0"/>
              <w:jc w:val="both"/>
              <w:spacing w:before="240"/>
            </w:pPr>
            <w:r>
              <w:rPr>
                <w:b/>
                <w:bCs/>
              </w:rPr>
              <w:t xml:space="preserve">Corrigé (plus éventuellement un lien avec un aspect du cours)</w:t>
            </w:r>
            <w:r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</w:r>
            <w:r/>
          </w:p>
          <w:p>
            <w:pPr>
              <w:pStyle w:val="816"/>
              <w:ind w:left="0"/>
              <w:jc w:val="both"/>
              <w:spacing w:before="240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</w:tbl>
    <w:p>
      <w:pPr>
        <w:pStyle w:val="816"/>
        <w:ind w:hanging="360"/>
        <w:jc w:val="both"/>
      </w:pPr>
      <w:r/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1559"/>
        <w:gridCol w:w="2126"/>
        <w:gridCol w:w="1984"/>
      </w:tblGrid>
      <w:tr>
        <w:trPr/>
        <w:tc>
          <w:tcPr>
            <w:tcW w:w="4393" w:type="dxa"/>
            <w:textDirection w:val="lrTb"/>
            <w:noWrap w:val="false"/>
          </w:tcPr>
          <w:p>
            <w:pPr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gridSpan w:val="2"/>
            <w:tcW w:w="3685" w:type="dxa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Incitations sélectives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 w:val="0"/>
              <w:jc w:val="both"/>
              <w:spacing w:before="96" w:after="0" w:line="283" w:lineRule="atLeast"/>
              <w:rPr>
                <w:highlight w:val="none"/>
              </w:rPr>
              <w:suppressLineNumbers w:val="0"/>
            </w:pPr>
            <w:r>
              <w:rPr>
                <w:b w:val="0"/>
                <w:highlight w:val="none"/>
              </w:rPr>
              <w:t xml:space="preserve">Rétributions</w:t>
            </w:r>
            <w:r>
              <w:rPr>
                <w:b w:val="0"/>
                <w:highlight w:val="none"/>
              </w:rPr>
            </w:r>
            <w:r/>
          </w:p>
          <w:p>
            <w:pPr>
              <w:contextualSpacing w:val="0"/>
              <w:jc w:val="both"/>
              <w:spacing w:before="96" w:after="0" w:line="283" w:lineRule="atLeast"/>
              <w:rPr>
                <w:highlight w:val="none"/>
              </w:rPr>
              <w:suppressLineNumbers w:val="0"/>
            </w:pPr>
            <w:r>
              <w:rPr>
                <w:b w:val="0"/>
                <w:highlight w:val="none"/>
              </w:rPr>
              <w:t xml:space="preserve">symboliques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textDirection w:val="lrTb"/>
            <w:noWrap w:val="false"/>
          </w:tcPr>
          <w:p>
            <w:pPr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Négatives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Positives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</w:pPr>
            <w:r>
              <w:rPr>
                <w:b w:val="0"/>
                <w:bCs/>
              </w:rPr>
              <w:t xml:space="preserve">Etre indemnisé pour fait de grève lorsqu’on est adhérent syndical</w:t>
            </w:r>
            <w:r>
              <w:rPr>
                <w:b w:val="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pPr>
              <w:jc w:val="left"/>
              <w:spacing w:before="240"/>
              <w:rPr>
                <w:b w:val="0"/>
                <w:color w:val="00B050"/>
                <w:highlight w:val="none"/>
              </w:rPr>
            </w:pPr>
            <w:r>
              <w:rPr>
                <w:b w:val="0"/>
                <w:color w:val="00B050"/>
                <w:highlight w:val="none"/>
              </w:rPr>
              <w:t xml:space="preserve">Explications : le coût de la grève est moindre pour les adhérents grévistes</w:t>
            </w:r>
            <w:r>
              <w:rPr>
                <w:b w:val="0"/>
                <w:color w:val="00B050"/>
                <w:highlight w:val="none"/>
              </w:rPr>
            </w:r>
          </w:p>
        </w:tc>
      </w:tr>
      <w:tr>
        <w:trPr>
          <w:trHeight w:val="787"/>
        </w:trPr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</w:pPr>
            <w:r>
              <w:rPr>
                <w:b w:val="0"/>
                <w:bCs/>
              </w:rPr>
              <w:t xml:space="preserve">Se sentir utile en étant bénévole au Restau du coeur</w:t>
            </w:r>
            <w:r>
              <w:rPr>
                <w:b w:val="0"/>
                <w:bCs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</w:tr>
      <w:tr>
        <w:trPr>
          <w:trHeight w:val="314"/>
        </w:trPr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pPr>
              <w:jc w:val="left"/>
              <w:spacing w:before="240"/>
              <w:rPr>
                <w:color w:val="00B050"/>
                <w:highlight w:val="none"/>
              </w:rPr>
            </w:pPr>
            <w:r>
              <w:rPr>
                <w:b w:val="0"/>
                <w:color w:val="00B050"/>
                <w:highlight w:val="none"/>
              </w:rPr>
              <w:t xml:space="preserve">Explications : le militant peut en tirer un prestige personnel</w:t>
            </w:r>
            <w:r>
              <w:rPr>
                <w:b w:val="0"/>
                <w:color w:val="00B050"/>
                <w:highlight w:val="none"/>
              </w:rPr>
            </w:r>
            <w:r/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>
              <w:rPr>
                <w:b w:val="0"/>
                <w:color w:val="00B050"/>
                <w:highlight w:val="none"/>
              </w:rPr>
            </w:r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</w:pPr>
            <w:r>
              <w:rPr>
                <w:b w:val="0"/>
                <w:bCs/>
                <w:highlight w:val="none"/>
              </w:rPr>
              <w:t xml:space="preserve">Se sentir mal vu par des collègues si on ne participe pas à une grève</w:t>
            </w:r>
            <w:r>
              <w:rPr>
                <w:b w:val="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r/>
            <w:r>
              <w:rPr>
                <w:b w:val="0"/>
                <w:color w:val="00B050"/>
                <w:highlight w:val="none"/>
              </w:rPr>
              <w:t xml:space="preserve">Explications : le non gréviste ne bénéficie pas de la reconnaissance de ses collègues</w:t>
            </w:r>
            <w:r>
              <w:rPr>
                <w:b w:val="0"/>
                <w:color w:val="00B05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Adhérer à un syndicat dans le but d’obtenir un emploi</w:t>
            </w:r>
            <w:r>
              <w:rPr>
                <w:b w:val="0"/>
                <w:bCs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r/>
            <w:r>
              <w:rPr>
                <w:b w:val="0"/>
                <w:color w:val="00B050"/>
                <w:highlight w:val="none"/>
              </w:rPr>
              <w:t xml:space="preserve">Explications : être syndiqué procure un avantage (closed shop)</w:t>
            </w:r>
            <w:r>
              <w:rPr>
                <w:b w:val="0"/>
                <w:color w:val="00B05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Devenir le responsable « actions » à Act Up </w:t>
            </w:r>
            <w:r>
              <w:rPr>
                <w:b w:val="0"/>
                <w:bCs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r/>
            <w:r>
              <w:rPr>
                <w:b w:val="0"/>
                <w:color w:val="00B050"/>
                <w:highlight w:val="none"/>
              </w:rPr>
              <w:t xml:space="preserve">Explications : le militant gagne en prestige, pouvoir et responsabilités</w:t>
            </w:r>
            <w:r>
              <w:rPr>
                <w:b w:val="0"/>
                <w:color w:val="00B050"/>
                <w:highlight w:val="none"/>
              </w:rPr>
            </w:r>
            <w:r/>
            <w:r>
              <w:rPr>
                <w:b w:val="0"/>
                <w:color w:val="00B05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Une actrice devient ambassadrice des droits des femmes auprès de l’ONU</w:t>
            </w:r>
            <w:r>
              <w:rPr>
                <w:b w:val="0"/>
                <w:bCs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r/>
            <w:r>
              <w:rPr>
                <w:b w:val="0"/>
                <w:color w:val="00B050"/>
                <w:highlight w:val="none"/>
              </w:rPr>
              <w:t xml:space="preserve">Explications : La désignation donne à cette actrice un nouveau statut que son métier et/ou sa notoriété ne lui avait pas octroyé encore. Elle sera ainsi en charge d’une responsabilité nouvelle, d’une médiatisation plus soutenue et l’exposant dans es prises de parole.</w:t>
            </w:r>
            <w:r>
              <w:rPr>
                <w:b w:val="0"/>
                <w:color w:val="00B05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Des grévistes montent une chorale pour accompagner une manifestation</w:t>
            </w:r>
            <w:r>
              <w:rPr>
                <w:b w:val="0"/>
                <w:bCs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r/>
            <w:r>
              <w:rPr>
                <w:b w:val="0"/>
                <w:color w:val="00B050"/>
                <w:highlight w:val="none"/>
              </w:rPr>
              <w:t xml:space="preserve">Explications : La chorale est l’opportunité d’une sociabilité nouvelle pour les grévistes, une extension et un approfondissement de leur réseau social. </w:t>
            </w:r>
            <w:r>
              <w:rPr>
                <w:b w:val="0"/>
                <w:color w:val="00B050"/>
                <w:highlight w:val="none"/>
              </w:rPr>
            </w:r>
            <w:r/>
          </w:p>
        </w:tc>
      </w:tr>
      <w:tr>
        <w:trPr/>
        <w:tc>
          <w:tcPr>
            <w:tcW w:w="439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240"/>
              <w:rPr>
                <w:highlight w:val="none"/>
              </w:rPr>
            </w:pPr>
            <w:r>
              <w:rPr>
                <w:b w:val="0"/>
                <w:bCs/>
                <w:highlight w:val="none"/>
              </w:rPr>
              <w:t xml:space="preserve">Passer à la TV locale quand on est syndicaliste</w:t>
            </w:r>
            <w:r>
              <w:rPr>
                <w:b w:val="0"/>
                <w:bCs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before="240"/>
              <w:rPr>
                <w:highlight w:val="none"/>
              </w:rPr>
            </w:pPr>
            <w:r>
              <w:rPr>
                <w:b w:val="0"/>
                <w:highlight w:val="none"/>
              </w:rPr>
              <w:t xml:space="preserve">x</w:t>
            </w:r>
            <w:r>
              <w:rPr>
                <w:b w:val="0"/>
                <w:highlight w:val="none"/>
              </w:rPr>
            </w:r>
            <w:r/>
          </w:p>
        </w:tc>
      </w:tr>
      <w:tr>
        <w:trPr/>
        <w:tc>
          <w:tcPr>
            <w:gridSpan w:val="4"/>
            <w:tcW w:w="10063" w:type="dxa"/>
            <w:vMerge w:val="restart"/>
            <w:textDirection w:val="lrTb"/>
            <w:noWrap w:val="false"/>
          </w:tcPr>
          <w:p>
            <w:r/>
            <w:r>
              <w:rPr>
                <w:b w:val="0"/>
                <w:color w:val="00B050"/>
                <w:highlight w:val="none"/>
              </w:rPr>
              <w:t xml:space="preserve">Explications : Passer à la TV est une expérience inédite qui procure une notoriété, des compétences, un réseau social nouveau pour le militant. </w:t>
            </w:r>
            <w:r>
              <w:rPr>
                <w:b w:val="0"/>
                <w:color w:val="00B050"/>
                <w:highlight w:val="none"/>
              </w:rPr>
            </w:r>
            <w:r/>
            <w:r>
              <w:rPr>
                <w:b w:val="0"/>
                <w:color w:val="00B050"/>
                <w:highlight w:val="non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youtube.com/watch?v=-orn2p922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Philippe Jerome</cp:lastModifiedBy>
  <cp:revision>2</cp:revision>
  <dcterms:modified xsi:type="dcterms:W3CDTF">2024-05-28T13:58:35Z</dcterms:modified>
</cp:coreProperties>
</file>