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E0" w:rsidRDefault="00813FB9">
      <w:pPr>
        <w:pStyle w:val="En-tte20"/>
        <w:keepNext/>
        <w:keepLines/>
        <w:shd w:val="clear" w:color="auto" w:fill="auto"/>
        <w:spacing w:after="0" w:line="580" w:lineRule="exact"/>
        <w:ind w:left="180"/>
      </w:pPr>
      <w:bookmarkStart w:id="0" w:name="bookmark0"/>
      <w:r w:rsidRPr="00933C65">
        <w:rPr>
          <w:highlight w:val="yellow"/>
        </w:rPr>
        <w:t>Le</w:t>
      </w:r>
      <w:r w:rsidR="00933C65" w:rsidRPr="00933C65">
        <w:rPr>
          <w:highlight w:val="yellow"/>
        </w:rPr>
        <w:t xml:space="preserve"> plan sous forme de</w:t>
      </w:r>
      <w:r w:rsidRPr="00933C65">
        <w:rPr>
          <w:highlight w:val="yellow"/>
        </w:rPr>
        <w:t xml:space="preserve"> plaidoyer</w:t>
      </w:r>
      <w:bookmarkEnd w:id="0"/>
    </w:p>
    <w:p w:rsidR="007D5BE0" w:rsidRDefault="00813FB9">
      <w:pPr>
        <w:pStyle w:val="Corpsdutexte0"/>
        <w:shd w:val="clear" w:color="auto" w:fill="auto"/>
        <w:spacing w:before="0"/>
        <w:ind w:left="180" w:right="20"/>
      </w:pPr>
      <w:r>
        <w:t>Il vient de l'éloquence judiciaire et a fait les beaux jours des manuels de rhétorique. Il se compose de trois parties :</w:t>
      </w:r>
    </w:p>
    <w:p w:rsidR="007D5BE0" w:rsidRDefault="00813FB9">
      <w:pPr>
        <w:pStyle w:val="Corpsdutexte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left="180"/>
      </w:pPr>
      <w:r>
        <w:t>l'exposé des faits (la narration) ;</w:t>
      </w:r>
    </w:p>
    <w:p w:rsidR="007D5BE0" w:rsidRDefault="00813FB9">
      <w:pPr>
        <w:pStyle w:val="Corpsdutexte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left="180"/>
      </w:pPr>
      <w:r>
        <w:t>la prise en compte des arguments adverses et leur réfutation ;</w:t>
      </w:r>
    </w:p>
    <w:p w:rsidR="007D5BE0" w:rsidRDefault="00813FB9">
      <w:pPr>
        <w:pStyle w:val="Corpsdutexte0"/>
        <w:numPr>
          <w:ilvl w:val="0"/>
          <w:numId w:val="1"/>
        </w:numPr>
        <w:shd w:val="clear" w:color="auto" w:fill="auto"/>
        <w:tabs>
          <w:tab w:val="left" w:pos="358"/>
          <w:tab w:val="left" w:pos="7800"/>
        </w:tabs>
        <w:spacing w:before="0" w:after="176"/>
        <w:ind w:left="180"/>
      </w:pPr>
      <w:r>
        <w:t xml:space="preserve">l’exposé des </w:t>
      </w:r>
      <w:r>
        <w:t>arguments favorables.</w:t>
      </w:r>
      <w:r>
        <w:tab/>
        <w:t>^</w:t>
      </w:r>
    </w:p>
    <w:p w:rsidR="007D5BE0" w:rsidRDefault="00933C65" w:rsidP="00933C65">
      <w:pPr>
        <w:pStyle w:val="Corpsdutexte0"/>
        <w:shd w:val="clear" w:color="auto" w:fill="auto"/>
        <w:tabs>
          <w:tab w:val="left" w:pos="2110"/>
        </w:tabs>
        <w:spacing w:before="0" w:line="305" w:lineRule="exact"/>
        <w:ind w:left="180"/>
      </w:pPr>
      <w:r>
        <w:t>Exemple d</w:t>
      </w:r>
      <w:bookmarkStart w:id="1" w:name="_GoBack"/>
      <w:bookmarkEnd w:id="1"/>
      <w:r>
        <w:t>e question pour le Grand Oral</w:t>
      </w:r>
      <w:r w:rsidR="00813FB9">
        <w:t xml:space="preserve"> : La protection de l’environnement, une chance flnpf</w:t>
      </w:r>
      <w:r>
        <w:t xml:space="preserve"> pour l’économie mondiale ?</w:t>
      </w:r>
      <w:r>
        <w:tab/>
      </w:r>
    </w:p>
    <w:p w:rsidR="00933C65" w:rsidRPr="00933C65" w:rsidRDefault="00813FB9">
      <w:pPr>
        <w:pStyle w:val="Corpsdutexte0"/>
        <w:shd w:val="clear" w:color="auto" w:fill="auto"/>
        <w:spacing w:before="0" w:line="530" w:lineRule="exact"/>
        <w:ind w:left="180" w:right="20"/>
        <w:rPr>
          <w:b/>
        </w:rPr>
      </w:pPr>
      <w:r w:rsidRPr="00933C65">
        <w:rPr>
          <w:b/>
        </w:rPr>
        <w:t>L’OR</w:t>
      </w:r>
      <w:r w:rsidR="00933C65" w:rsidRPr="00933C65">
        <w:rPr>
          <w:b/>
        </w:rPr>
        <w:t>GANISATION DE LA PRÉSENTATION sous forme de plaidoyer</w:t>
      </w:r>
    </w:p>
    <w:p w:rsidR="007D5BE0" w:rsidRDefault="00813FB9" w:rsidP="00933C65">
      <w:pPr>
        <w:pStyle w:val="Corpsdutexte0"/>
        <w:shd w:val="clear" w:color="auto" w:fill="auto"/>
        <w:spacing w:before="0" w:line="530" w:lineRule="exact"/>
        <w:ind w:left="180" w:right="20"/>
      </w:pPr>
      <w:r>
        <w:rPr>
          <w:rStyle w:val="CorpsdutexteGrasItalique"/>
        </w:rPr>
        <w:t>Les faits</w:t>
      </w:r>
    </w:p>
    <w:p w:rsidR="007D5BE0" w:rsidRDefault="00813FB9" w:rsidP="00933C65">
      <w:pPr>
        <w:pStyle w:val="Corpsdutexte0"/>
        <w:shd w:val="clear" w:color="auto" w:fill="auto"/>
        <w:spacing w:before="0" w:after="182" w:line="302" w:lineRule="exact"/>
        <w:ind w:left="180" w:right="20"/>
        <w:jc w:val="both"/>
      </w:pPr>
      <w:r>
        <w:t xml:space="preserve">La protection de l’environnement crée de nouveaux besoins, de nouveaux métiers </w:t>
      </w:r>
      <w:r>
        <w:t>et, avec des investissements importants, sera vectrice de croissance.</w:t>
      </w:r>
    </w:p>
    <w:p w:rsidR="007D5BE0" w:rsidRDefault="00813FB9" w:rsidP="00933C65">
      <w:pPr>
        <w:pStyle w:val="Corpsdutexte20"/>
        <w:shd w:val="clear" w:color="auto" w:fill="auto"/>
        <w:spacing w:before="0"/>
        <w:ind w:left="180"/>
      </w:pPr>
      <w:r>
        <w:t>Les arguments adverses</w:t>
      </w:r>
    </w:p>
    <w:p w:rsidR="007D5BE0" w:rsidRDefault="00813FB9" w:rsidP="00933C65">
      <w:pPr>
        <w:pStyle w:val="Corpsdutexte0"/>
        <w:shd w:val="clear" w:color="auto" w:fill="auto"/>
        <w:spacing w:before="0" w:after="180"/>
        <w:ind w:left="180" w:right="20"/>
        <w:jc w:val="both"/>
      </w:pPr>
      <w:r>
        <w:t>Les normes environnementales freinent le développement économique et sont susceptibles de créer du chômage. C’est pour cette raison que les États-Unis ont refusé</w:t>
      </w:r>
      <w:r>
        <w:t xml:space="preserve"> de signer l’accord de Paris sur le climat et ont développé l’exploitation du gaz de schiste.</w:t>
      </w:r>
    </w:p>
    <w:p w:rsidR="007D5BE0" w:rsidRDefault="00813FB9" w:rsidP="00933C65">
      <w:pPr>
        <w:pStyle w:val="Corpsdutexte20"/>
        <w:shd w:val="clear" w:color="auto" w:fill="auto"/>
        <w:tabs>
          <w:tab w:val="left" w:pos="468"/>
        </w:tabs>
        <w:spacing w:before="0"/>
        <w:ind w:left="180"/>
      </w:pPr>
      <w:r>
        <w:t>La réfutation</w:t>
      </w:r>
    </w:p>
    <w:p w:rsidR="007D5BE0" w:rsidRDefault="00813FB9" w:rsidP="00933C65">
      <w:pPr>
        <w:pStyle w:val="Corpsdutexte0"/>
        <w:shd w:val="clear" w:color="auto" w:fill="auto"/>
        <w:spacing w:before="0" w:after="182"/>
        <w:ind w:left="180" w:right="20"/>
        <w:jc w:val="both"/>
      </w:pPr>
      <w:r>
        <w:t>Certes, les normes environnementales créent des contraintes susceptibles de freiner le développement économique. Mais elles ouvrent aussi de nouvell</w:t>
      </w:r>
      <w:r>
        <w:t>es opportunités, par de nouveaux usages et modes de consommation qui suscitent d’autres modes de production.</w:t>
      </w:r>
    </w:p>
    <w:p w:rsidR="007D5BE0" w:rsidRDefault="00813FB9" w:rsidP="00933C65">
      <w:pPr>
        <w:pStyle w:val="Corpsdutexte20"/>
        <w:shd w:val="clear" w:color="auto" w:fill="auto"/>
        <w:tabs>
          <w:tab w:val="left" w:pos="262"/>
        </w:tabs>
        <w:spacing w:before="0" w:line="298" w:lineRule="exact"/>
        <w:ind w:left="180"/>
      </w:pPr>
      <w:r>
        <w:t>Les arguments favorables</w:t>
      </w:r>
    </w:p>
    <w:p w:rsidR="007D5BE0" w:rsidRDefault="00813FB9" w:rsidP="00933C65">
      <w:pPr>
        <w:pStyle w:val="Corpsdutexte0"/>
        <w:shd w:val="clear" w:color="auto" w:fill="auto"/>
        <w:spacing w:before="0" w:line="298" w:lineRule="exact"/>
        <w:ind w:left="180" w:right="20"/>
        <w:jc w:val="both"/>
      </w:pPr>
      <w:r>
        <w:t>La protection de l’environnement nécessite justement des actions concertées pour construire des normes acceptables et souhaitées par tous, mais aussi des investissements correspondants susceptibles de relancer l’économie. Il faudrait</w:t>
      </w:r>
      <w:r>
        <w:t xml:space="preserve"> pénaliser la destruction de l’environnement, au nom des générations futures, mais aussi inciter financièrement à réaliser les choix nouveaux.</w:t>
      </w:r>
    </w:p>
    <w:p w:rsidR="00933C65" w:rsidRDefault="00933C65" w:rsidP="00933C65">
      <w:pPr>
        <w:pStyle w:val="Corpsdutexte0"/>
        <w:shd w:val="clear" w:color="auto" w:fill="auto"/>
        <w:spacing w:before="0" w:line="298" w:lineRule="exact"/>
        <w:ind w:left="180" w:right="20"/>
        <w:jc w:val="both"/>
      </w:pPr>
    </w:p>
    <w:p w:rsidR="00933C65" w:rsidRDefault="00933C65" w:rsidP="00933C65">
      <w:pPr>
        <w:pStyle w:val="Corpsdutexte0"/>
        <w:shd w:val="clear" w:color="auto" w:fill="auto"/>
        <w:spacing w:before="0" w:line="298" w:lineRule="exact"/>
        <w:ind w:left="180" w:right="20"/>
        <w:jc w:val="both"/>
      </w:pPr>
    </w:p>
    <w:p w:rsidR="00933C65" w:rsidRDefault="00933C65" w:rsidP="00933C65">
      <w:pPr>
        <w:pStyle w:val="Corpsdutexte0"/>
        <w:shd w:val="clear" w:color="auto" w:fill="auto"/>
        <w:spacing w:before="0" w:line="298" w:lineRule="exact"/>
        <w:ind w:left="180" w:right="20"/>
        <w:jc w:val="both"/>
        <w:sectPr w:rsidR="00933C65" w:rsidSect="00933C65">
          <w:type w:val="continuous"/>
          <w:pgSz w:w="11909" w:h="16838"/>
          <w:pgMar w:top="1418" w:right="1936" w:bottom="1830" w:left="1955" w:header="0" w:footer="3" w:gutter="0"/>
          <w:cols w:space="720"/>
          <w:noEndnote/>
          <w:docGrid w:linePitch="360"/>
        </w:sectPr>
      </w:pPr>
    </w:p>
    <w:p w:rsidR="007D5BE0" w:rsidRDefault="007D5BE0">
      <w:pPr>
        <w:spacing w:before="10" w:after="10" w:line="240" w:lineRule="exact"/>
        <w:rPr>
          <w:sz w:val="19"/>
          <w:szCs w:val="19"/>
        </w:rPr>
      </w:pPr>
    </w:p>
    <w:p w:rsidR="007D5BE0" w:rsidRDefault="007D5BE0">
      <w:pPr>
        <w:rPr>
          <w:sz w:val="2"/>
          <w:szCs w:val="2"/>
        </w:rPr>
        <w:sectPr w:rsidR="007D5BE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3C65" w:rsidRDefault="00813FB9" w:rsidP="00933C65">
      <w:pPr>
        <w:pStyle w:val="Corpsdutexte0"/>
        <w:shd w:val="clear" w:color="auto" w:fill="auto"/>
        <w:spacing w:before="0" w:line="281" w:lineRule="exact"/>
        <w:jc w:val="both"/>
      </w:pPr>
      <w:r>
        <w:t>Le plaidoyer permet de donner toute leur place aux arguments favorables et défavorabl</w:t>
      </w:r>
      <w:r>
        <w:t>es, chacun d’entre eux permettant d’appro</w:t>
      </w:r>
      <w:r>
        <w:softHyphen/>
        <w:t>fondir la question.</w:t>
      </w:r>
    </w:p>
    <w:p w:rsidR="00933C65" w:rsidRDefault="00933C65">
      <w:pPr>
        <w:pStyle w:val="Corpsdutexte0"/>
        <w:shd w:val="clear" w:color="auto" w:fill="auto"/>
        <w:spacing w:before="0" w:line="278" w:lineRule="exact"/>
        <w:ind w:left="20" w:right="40"/>
        <w:jc w:val="both"/>
      </w:pPr>
    </w:p>
    <w:p w:rsidR="00933C65" w:rsidRDefault="00933C65">
      <w:pPr>
        <w:pStyle w:val="Corpsdutexte0"/>
        <w:shd w:val="clear" w:color="auto" w:fill="auto"/>
        <w:spacing w:before="0" w:line="278" w:lineRule="exact"/>
        <w:ind w:left="20" w:right="40"/>
        <w:jc w:val="both"/>
      </w:pPr>
    </w:p>
    <w:p w:rsidR="00933C65" w:rsidRDefault="00933C65">
      <w:pPr>
        <w:pStyle w:val="Corpsdutexte0"/>
        <w:shd w:val="clear" w:color="auto" w:fill="auto"/>
        <w:spacing w:before="0" w:line="278" w:lineRule="exact"/>
        <w:ind w:left="20" w:right="40"/>
        <w:jc w:val="both"/>
      </w:pPr>
    </w:p>
    <w:p w:rsidR="00933C65" w:rsidRDefault="00933C65">
      <w:pPr>
        <w:pStyle w:val="Corpsdutexte0"/>
        <w:shd w:val="clear" w:color="auto" w:fill="auto"/>
        <w:spacing w:before="0" w:line="278" w:lineRule="exact"/>
        <w:ind w:left="20" w:right="40"/>
        <w:jc w:val="both"/>
      </w:pPr>
    </w:p>
    <w:p w:rsidR="00933C65" w:rsidRDefault="00933C65">
      <w:pPr>
        <w:pStyle w:val="Corpsdutexte0"/>
        <w:shd w:val="clear" w:color="auto" w:fill="auto"/>
        <w:spacing w:before="0" w:line="278" w:lineRule="exact"/>
        <w:ind w:left="20" w:right="40"/>
        <w:jc w:val="both"/>
      </w:pPr>
    </w:p>
    <w:p w:rsidR="007D5BE0" w:rsidRDefault="00813FB9">
      <w:pPr>
        <w:pStyle w:val="Corpsdutexte0"/>
        <w:shd w:val="clear" w:color="auto" w:fill="auto"/>
        <w:spacing w:before="0" w:line="278" w:lineRule="exact"/>
        <w:ind w:left="20" w:right="40"/>
        <w:jc w:val="both"/>
      </w:pPr>
      <w:r>
        <w:t>Ne pas sous-estimer les arguments défa</w:t>
      </w:r>
      <w:r>
        <w:softHyphen/>
        <w:t xml:space="preserve">vorables qui vont me permettre d’aller là où je ne le pensais pas. Plus je suis capable d’aller en sens contraire, plus ma </w:t>
      </w:r>
      <w:r>
        <w:t>réflexion va gagner en finesse et en profondeur.</w:t>
      </w:r>
    </w:p>
    <w:sectPr w:rsidR="007D5BE0">
      <w:type w:val="continuous"/>
      <w:pgSz w:w="11909" w:h="16838"/>
      <w:pgMar w:top="2322" w:right="2167" w:bottom="1830" w:left="2263" w:header="0" w:footer="3" w:gutter="0"/>
      <w:cols w:num="2" w:space="720" w:equalWidth="0">
        <w:col w:w="3182" w:space="542"/>
        <w:col w:w="375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B9" w:rsidRDefault="00813FB9">
      <w:r>
        <w:separator/>
      </w:r>
    </w:p>
  </w:endnote>
  <w:endnote w:type="continuationSeparator" w:id="0">
    <w:p w:rsidR="00813FB9" w:rsidRDefault="0081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B9" w:rsidRDefault="00813FB9"/>
  </w:footnote>
  <w:footnote w:type="continuationSeparator" w:id="0">
    <w:p w:rsidR="00813FB9" w:rsidRDefault="00813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7709"/>
    <w:multiLevelType w:val="multilevel"/>
    <w:tmpl w:val="B2609CF0"/>
    <w:lvl w:ilvl="0">
      <w:numFmt w:val="decimal"/>
      <w:lvlText w:val="%1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33A15"/>
    <w:multiLevelType w:val="multilevel"/>
    <w:tmpl w:val="DC344C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E0"/>
    <w:rsid w:val="007D5BE0"/>
    <w:rsid w:val="00813FB9"/>
    <w:rsid w:val="0093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6384"/>
  <w15:docId w15:val="{4954B3D9-9D1A-4DC5-AAEA-4188C817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En-tte2">
    <w:name w:val="En-tête #2_"/>
    <w:basedOn w:val="Policepardfaut"/>
    <w:link w:val="En-tte2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En-tte2BookmanOldStyle27pt">
    <w:name w:val="En-tête #2 + Bookman Old Style;27 pt"/>
    <w:basedOn w:val="En-tt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</w:rPr>
  </w:style>
  <w:style w:type="character" w:customStyle="1" w:styleId="En-tte2Corbel29ptNonGras">
    <w:name w:val="En-tête #2 + Corbel;29 pt;Non Gras"/>
    <w:basedOn w:val="En-tte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</w:rPr>
  </w:style>
  <w:style w:type="character" w:customStyle="1" w:styleId="En-tteoupieddepage">
    <w:name w:val="En-tête ou pied de page_"/>
    <w:basedOn w:val="Policepardfaut"/>
    <w:link w:val="En-tteoupieddepage0"/>
    <w:rPr>
      <w:rFonts w:ascii="Corbel" w:eastAsia="Corbel" w:hAnsi="Corbel" w:cs="Corbe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n-tteoupieddepage1">
    <w:name w:val="En-tête ou pied de page"/>
    <w:basedOn w:val="En-tteoupieddepag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/>
    </w:rPr>
  </w:style>
  <w:style w:type="character" w:customStyle="1" w:styleId="En-tteoupieddepageArial75ptNonGrasItalique">
    <w:name w:val="En-tête ou pied de page + Arial;7;5 pt;Non Gras;Italique"/>
    <w:basedOn w:val="En-tteoupieddepag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Corpsdutexte">
    <w:name w:val="Corps du texte_"/>
    <w:basedOn w:val="Policepardfaut"/>
    <w:link w:val="Corpsdutext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GrasItalique">
    <w:name w:val="Corps du texte + Gras;Italique"/>
    <w:basedOn w:val="Corpsdutexte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/>
    </w:rPr>
  </w:style>
  <w:style w:type="character" w:customStyle="1" w:styleId="Corpsdutexte2">
    <w:name w:val="Corps du texte (2)_"/>
    <w:basedOn w:val="Policepardfaut"/>
    <w:link w:val="Corpsdutexte20"/>
    <w:rPr>
      <w:rFonts w:ascii="Trebuchet MS" w:eastAsia="Trebuchet MS" w:hAnsi="Trebuchet MS" w:cs="Trebuchet MS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orpsdutexte2NonGrasNonItalique">
    <w:name w:val="Corps du texte (2) + Non Gras;Non Italique"/>
    <w:basedOn w:val="Corpsdutext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/>
    </w:rPr>
  </w:style>
  <w:style w:type="character" w:customStyle="1" w:styleId="En-tte1">
    <w:name w:val="En-tête #1_"/>
    <w:basedOn w:val="Policepardfaut"/>
    <w:link w:val="En-tte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53"/>
      <w:szCs w:val="53"/>
      <w:u w:val="none"/>
    </w:rPr>
  </w:style>
  <w:style w:type="character" w:customStyle="1" w:styleId="Corpsdutexte3">
    <w:name w:val="Corps du texte (3)_"/>
    <w:basedOn w:val="Policepardfaut"/>
    <w:link w:val="Corpsdutexte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31">
    <w:name w:val="Corps du texte (3)"/>
    <w:basedOn w:val="Corpsdutext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fr-FR"/>
    </w:rPr>
  </w:style>
  <w:style w:type="character" w:customStyle="1" w:styleId="Corpsdutexte4">
    <w:name w:val="Corps du texte (4)_"/>
    <w:basedOn w:val="Policepardfaut"/>
    <w:link w:val="Corpsdutexte4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Corpsdutexte4TrebuchetMS10ptNonGrasNonItalique">
    <w:name w:val="Corps du texte (4) + Trebuchet MS;10 pt;Non Gras;Non Italique"/>
    <w:basedOn w:val="Corpsdutexte4"/>
    <w:rPr>
      <w:rFonts w:ascii="Trebuchet MS" w:eastAsia="Trebuchet MS" w:hAnsi="Trebuchet MS" w:cs="Trebuchet MS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</w:rPr>
  </w:style>
  <w:style w:type="character" w:customStyle="1" w:styleId="Corpsdutexte41">
    <w:name w:val="Corps du texte (4)"/>
    <w:basedOn w:val="Corpsdutexte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</w:rPr>
  </w:style>
  <w:style w:type="character" w:customStyle="1" w:styleId="Corpsdutexte5">
    <w:name w:val="Corps du texte (5)_"/>
    <w:basedOn w:val="Policepardfaut"/>
    <w:link w:val="Corpsdutexte50"/>
    <w:rPr>
      <w:rFonts w:ascii="Trebuchet MS" w:eastAsia="Trebuchet MS" w:hAnsi="Trebuchet MS" w:cs="Trebuchet MS"/>
      <w:b/>
      <w:bCs/>
      <w:i/>
      <w:iCs/>
      <w:smallCaps w:val="0"/>
      <w:strike w:val="0"/>
      <w:w w:val="60"/>
      <w:sz w:val="15"/>
      <w:szCs w:val="15"/>
      <w:u w:val="none"/>
    </w:rPr>
  </w:style>
  <w:style w:type="paragraph" w:customStyle="1" w:styleId="En-tte20">
    <w:name w:val="En-tête #2"/>
    <w:basedOn w:val="Normal"/>
    <w:link w:val="En-tte2"/>
    <w:pPr>
      <w:shd w:val="clear" w:color="auto" w:fill="FFFFFF"/>
      <w:spacing w:after="180" w:line="0" w:lineRule="atLeast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16"/>
      <w:szCs w:val="16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before="180" w:line="300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180" w:line="300" w:lineRule="exact"/>
    </w:pPr>
    <w:rPr>
      <w:rFonts w:ascii="Trebuchet MS" w:eastAsia="Trebuchet MS" w:hAnsi="Trebuchet MS" w:cs="Trebuchet MS"/>
      <w:b/>
      <w:bCs/>
      <w:i/>
      <w:iCs/>
      <w:sz w:val="22"/>
      <w:szCs w:val="22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after="12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53"/>
      <w:szCs w:val="53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Corpsdutexte40">
    <w:name w:val="Corps du texte (4)"/>
    <w:basedOn w:val="Normal"/>
    <w:link w:val="Corpsdutexte4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b/>
      <w:bCs/>
      <w:i/>
      <w:iCs/>
      <w:sz w:val="13"/>
      <w:szCs w:val="13"/>
    </w:rPr>
  </w:style>
  <w:style w:type="paragraph" w:customStyle="1" w:styleId="Corpsdutexte50">
    <w:name w:val="Corps du texte (5)"/>
    <w:basedOn w:val="Normal"/>
    <w:link w:val="Corpsdutexte5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b/>
      <w:bCs/>
      <w:i/>
      <w:iCs/>
      <w:w w:val="60"/>
      <w:sz w:val="15"/>
      <w:szCs w:val="15"/>
    </w:rPr>
  </w:style>
  <w:style w:type="paragraph" w:styleId="En-tte">
    <w:name w:val="header"/>
    <w:basedOn w:val="Normal"/>
    <w:link w:val="En-tteCar"/>
    <w:uiPriority w:val="99"/>
    <w:unhideWhenUsed/>
    <w:rsid w:val="00933C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3C65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33C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3C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2022-03-26T17:23:00Z</dcterms:created>
  <dcterms:modified xsi:type="dcterms:W3CDTF">2022-03-26T17:26:00Z</dcterms:modified>
</cp:coreProperties>
</file>