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50" w:type="dxa"/>
        <w:tblInd w:w="-56" w:type="dxa"/>
        <w:tblBorders>
          <w:top w:val="single" w:sz="4" w:space="0" w:color="000001"/>
          <w:left w:val="single" w:sz="4" w:space="0" w:color="000001"/>
          <w:bottom w:val="single" w:sz="4" w:space="0" w:color="000001"/>
          <w:insideH w:val="single" w:sz="4" w:space="0" w:color="000001"/>
        </w:tblBorders>
        <w:tblCellMar>
          <w:left w:w="50" w:type="dxa"/>
          <w:right w:w="70" w:type="dxa"/>
        </w:tblCellMar>
        <w:tblLook w:val="0000" w:firstRow="0" w:lastRow="0" w:firstColumn="0" w:lastColumn="0" w:noHBand="0" w:noVBand="0"/>
      </w:tblPr>
      <w:tblGrid>
        <w:gridCol w:w="3254"/>
        <w:gridCol w:w="1305"/>
        <w:gridCol w:w="10691"/>
      </w:tblGrid>
      <w:tr w:rsidR="00A91566" w:rsidTr="00E105DB">
        <w:trPr>
          <w:trHeight w:val="512"/>
        </w:trPr>
        <w:tc>
          <w:tcPr>
            <w:tcW w:w="4559" w:type="dxa"/>
            <w:gridSpan w:val="2"/>
            <w:tcBorders>
              <w:top w:val="single" w:sz="4" w:space="0" w:color="000001"/>
              <w:left w:val="single" w:sz="4" w:space="0" w:color="000001"/>
              <w:bottom w:val="single" w:sz="4" w:space="0" w:color="000001"/>
            </w:tcBorders>
            <w:shd w:val="clear" w:color="auto" w:fill="auto"/>
            <w:tcMar>
              <w:left w:w="50" w:type="dxa"/>
            </w:tcMar>
          </w:tcPr>
          <w:p w:rsidR="00A91566" w:rsidRDefault="00111ACE" w:rsidP="007B0275">
            <w:pPr>
              <w:spacing w:after="0" w:line="240" w:lineRule="auto"/>
            </w:pPr>
            <w:r>
              <w:t xml:space="preserve">Enseignement commun </w:t>
            </w:r>
          </w:p>
        </w:tc>
        <w:tc>
          <w:tcPr>
            <w:tcW w:w="1069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111ACE">
            <w:pPr>
              <w:spacing w:after="0" w:line="240" w:lineRule="auto"/>
            </w:pPr>
            <w:r>
              <w:t>Séquence : Sociétés et environnements</w:t>
            </w:r>
            <w:r w:rsidR="007B0275">
              <w:t xml:space="preserve"> </w:t>
            </w:r>
            <w:r>
              <w:t>: des équilibres fragiles</w:t>
            </w:r>
          </w:p>
        </w:tc>
      </w:tr>
      <w:tr w:rsidR="00A91566">
        <w:trPr>
          <w:trHeight w:val="585"/>
        </w:trPr>
        <w:tc>
          <w:tcPr>
            <w:tcW w:w="3254" w:type="dxa"/>
            <w:tcBorders>
              <w:top w:val="single" w:sz="4" w:space="0" w:color="000001"/>
              <w:left w:val="single" w:sz="4" w:space="0" w:color="000001"/>
              <w:bottom w:val="single" w:sz="4" w:space="0" w:color="000001"/>
            </w:tcBorders>
            <w:shd w:val="clear" w:color="auto" w:fill="auto"/>
            <w:tcMar>
              <w:left w:w="50" w:type="dxa"/>
            </w:tcMar>
          </w:tcPr>
          <w:p w:rsidR="00A91566" w:rsidRDefault="00111ACE">
            <w:pPr>
              <w:spacing w:after="0" w:line="240" w:lineRule="auto"/>
            </w:pPr>
            <w:r>
              <w:t>Niveau : Seconde</w:t>
            </w:r>
          </w:p>
          <w:p w:rsidR="00A91566" w:rsidRDefault="00111ACE">
            <w:pPr>
              <w:spacing w:after="0" w:line="240" w:lineRule="auto"/>
            </w:pPr>
            <w:r>
              <w:t>Durée : 12-14h</w:t>
            </w:r>
          </w:p>
        </w:tc>
        <w:tc>
          <w:tcPr>
            <w:tcW w:w="119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A91566">
            <w:pPr>
              <w:snapToGrid w:val="0"/>
              <w:spacing w:after="0" w:line="240" w:lineRule="auto"/>
            </w:pPr>
          </w:p>
        </w:tc>
      </w:tr>
      <w:tr w:rsidR="00A91566">
        <w:trPr>
          <w:trHeight w:val="585"/>
        </w:trPr>
        <w:tc>
          <w:tcPr>
            <w:tcW w:w="3254" w:type="dxa"/>
            <w:tcBorders>
              <w:top w:val="single" w:sz="4" w:space="0" w:color="000001"/>
              <w:left w:val="single" w:sz="4" w:space="0" w:color="000001"/>
              <w:bottom w:val="single" w:sz="4" w:space="0" w:color="000001"/>
            </w:tcBorders>
            <w:shd w:val="clear" w:color="auto" w:fill="auto"/>
            <w:tcMar>
              <w:left w:w="50" w:type="dxa"/>
            </w:tcMar>
          </w:tcPr>
          <w:p w:rsidR="00A91566" w:rsidRDefault="00111ACE">
            <w:pPr>
              <w:spacing w:after="0" w:line="240" w:lineRule="auto"/>
            </w:pPr>
            <w:r>
              <w:t>Notions clés</w:t>
            </w:r>
          </w:p>
        </w:tc>
        <w:tc>
          <w:tcPr>
            <w:tcW w:w="119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111ACE">
            <w:pPr>
              <w:tabs>
                <w:tab w:val="left" w:pos="483"/>
              </w:tabs>
              <w:spacing w:after="0" w:line="240" w:lineRule="auto"/>
            </w:pPr>
            <w:r>
              <w:t>Milieu. Risques. Environnement. Ressources. Transition énergétique</w:t>
            </w:r>
          </w:p>
        </w:tc>
      </w:tr>
      <w:tr w:rsidR="00A91566" w:rsidTr="00F367E9">
        <w:trPr>
          <w:trHeight w:val="303"/>
        </w:trPr>
        <w:tc>
          <w:tcPr>
            <w:tcW w:w="3254" w:type="dxa"/>
            <w:tcBorders>
              <w:top w:val="single" w:sz="4" w:space="0" w:color="000001"/>
              <w:left w:val="single" w:sz="4" w:space="0" w:color="000001"/>
              <w:bottom w:val="single" w:sz="4" w:space="0" w:color="000001"/>
            </w:tcBorders>
            <w:shd w:val="clear" w:color="auto" w:fill="auto"/>
            <w:tcMar>
              <w:left w:w="50" w:type="dxa"/>
            </w:tcMar>
          </w:tcPr>
          <w:p w:rsidR="00A91566" w:rsidRDefault="00111ACE">
            <w:pPr>
              <w:spacing w:after="0" w:line="240" w:lineRule="auto"/>
            </w:pPr>
            <w:r>
              <w:t>Problématique</w:t>
            </w:r>
          </w:p>
        </w:tc>
        <w:tc>
          <w:tcPr>
            <w:tcW w:w="119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111ACE">
            <w:pPr>
              <w:spacing w:after="0" w:line="240" w:lineRule="auto"/>
              <w:rPr>
                <w:b/>
              </w:rPr>
            </w:pPr>
            <w:r>
              <w:rPr>
                <w:b/>
              </w:rPr>
              <w:t>Les sociétés humaines peuvent-elles à la fois valoriser les ressources, protéger les milieux et gérer les risques ?</w:t>
            </w:r>
          </w:p>
        </w:tc>
      </w:tr>
      <w:tr w:rsidR="00A91566" w:rsidTr="00E105DB">
        <w:trPr>
          <w:trHeight w:val="5473"/>
        </w:trPr>
        <w:tc>
          <w:tcPr>
            <w:tcW w:w="3254" w:type="dxa"/>
            <w:tcBorders>
              <w:top w:val="single" w:sz="4" w:space="0" w:color="000001"/>
              <w:left w:val="single" w:sz="4" w:space="0" w:color="000001"/>
              <w:bottom w:val="single" w:sz="4" w:space="0" w:color="000001"/>
            </w:tcBorders>
            <w:shd w:val="clear" w:color="auto" w:fill="auto"/>
            <w:tcMar>
              <w:left w:w="50" w:type="dxa"/>
            </w:tcMar>
          </w:tcPr>
          <w:p w:rsidR="00A91566" w:rsidRDefault="00111ACE">
            <w:pPr>
              <w:spacing w:after="0" w:line="240" w:lineRule="auto"/>
            </w:pPr>
            <w:r>
              <w:t>Démarche et pistes de travail</w:t>
            </w:r>
          </w:p>
        </w:tc>
        <w:tc>
          <w:tcPr>
            <w:tcW w:w="119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111ACE">
            <w:pPr>
              <w:tabs>
                <w:tab w:val="left" w:pos="1351"/>
              </w:tabs>
              <w:spacing w:after="0" w:line="240" w:lineRule="auto"/>
            </w:pPr>
            <w:r>
              <w:t>Premier thème de l'année, il peut permettre de consolider le raisonnement géographique et le travail sur documents.</w:t>
            </w:r>
          </w:p>
          <w:p w:rsidR="00A91566" w:rsidRDefault="00A91566">
            <w:pPr>
              <w:tabs>
                <w:tab w:val="left" w:pos="1351"/>
              </w:tabs>
              <w:spacing w:after="0" w:line="240" w:lineRule="auto"/>
            </w:pPr>
          </w:p>
          <w:p w:rsidR="00A91566" w:rsidRDefault="00111ACE">
            <w:pPr>
              <w:tabs>
                <w:tab w:val="left" w:pos="1351"/>
              </w:tabs>
              <w:spacing w:after="0" w:line="240" w:lineRule="auto"/>
            </w:pPr>
            <w:r>
              <w:rPr>
                <w:b/>
              </w:rPr>
              <w:t>I. On peut partir d'une étude de cas, "L'Arctique: fragilité et attractivité"</w:t>
            </w:r>
            <w:r>
              <w:t>. Elle permet en travaillant sur des documents divers de construire une carte heuristique qui met en évidence les interactions par une approche systémique.</w:t>
            </w:r>
          </w:p>
          <w:p w:rsidR="00A91566" w:rsidRDefault="00111ACE">
            <w:pPr>
              <w:tabs>
                <w:tab w:val="left" w:pos="1351"/>
              </w:tabs>
              <w:spacing w:after="0" w:line="240" w:lineRule="auto"/>
            </w:pPr>
            <w:r>
              <w:t>Cette étude aborde les points suivants</w:t>
            </w:r>
          </w:p>
          <w:p w:rsidR="00A91566" w:rsidRDefault="00111ACE">
            <w:pPr>
              <w:numPr>
                <w:ilvl w:val="0"/>
                <w:numId w:val="1"/>
              </w:numPr>
              <w:tabs>
                <w:tab w:val="left" w:pos="1351"/>
              </w:tabs>
              <w:spacing w:after="0" w:line="240" w:lineRule="auto"/>
            </w:pPr>
            <w:r>
              <w:t>localisation et caractéristiques du milieu</w:t>
            </w:r>
          </w:p>
          <w:p w:rsidR="00A91566" w:rsidRDefault="00111ACE">
            <w:pPr>
              <w:numPr>
                <w:ilvl w:val="0"/>
                <w:numId w:val="1"/>
              </w:numPr>
              <w:tabs>
                <w:tab w:val="left" w:pos="1351"/>
              </w:tabs>
              <w:spacing w:after="0" w:line="240" w:lineRule="auto"/>
            </w:pPr>
            <w:r>
              <w:t>un milieu très sensible aux changements climatiques et activités humaines</w:t>
            </w:r>
          </w:p>
          <w:p w:rsidR="00A91566" w:rsidRDefault="00111ACE">
            <w:pPr>
              <w:numPr>
                <w:ilvl w:val="0"/>
                <w:numId w:val="1"/>
              </w:numPr>
              <w:tabs>
                <w:tab w:val="left" w:pos="1351"/>
              </w:tabs>
              <w:spacing w:after="0" w:line="240" w:lineRule="auto"/>
            </w:pPr>
            <w:r>
              <w:t>une attractivité renforcée et de nouvelles opportunités</w:t>
            </w:r>
          </w:p>
          <w:p w:rsidR="00A91566" w:rsidRDefault="00111ACE">
            <w:pPr>
              <w:numPr>
                <w:ilvl w:val="0"/>
                <w:numId w:val="1"/>
              </w:numPr>
              <w:tabs>
                <w:tab w:val="left" w:pos="1351"/>
              </w:tabs>
              <w:spacing w:after="0" w:line="240" w:lineRule="auto"/>
            </w:pPr>
            <w:r>
              <w:t>les enjeux et les tensions entre acteurs</w:t>
            </w:r>
          </w:p>
          <w:p w:rsidR="00A91566" w:rsidRDefault="00A91566">
            <w:pPr>
              <w:tabs>
                <w:tab w:val="left" w:pos="1351"/>
              </w:tabs>
              <w:spacing w:after="0" w:line="240" w:lineRule="auto"/>
              <w:ind w:left="2068"/>
            </w:pPr>
          </w:p>
          <w:p w:rsidR="00A91566" w:rsidRDefault="00111ACE">
            <w:pPr>
              <w:tabs>
                <w:tab w:val="left" w:pos="1351"/>
              </w:tabs>
              <w:spacing w:after="0" w:line="240" w:lineRule="auto"/>
            </w:pPr>
            <w:r>
              <w:t>L'étude de cas sera mise en perspective selon deux axes principaux.</w:t>
            </w:r>
          </w:p>
          <w:p w:rsidR="00A91566" w:rsidRDefault="00A91566">
            <w:pPr>
              <w:tabs>
                <w:tab w:val="left" w:pos="1351"/>
              </w:tabs>
              <w:spacing w:after="0" w:line="240" w:lineRule="auto"/>
              <w:rPr>
                <w:color w:val="FF0000"/>
              </w:rPr>
            </w:pPr>
          </w:p>
          <w:p w:rsidR="00A91566" w:rsidRDefault="00111ACE">
            <w:pPr>
              <w:tabs>
                <w:tab w:val="left" w:pos="1351"/>
              </w:tabs>
              <w:spacing w:after="0" w:line="240" w:lineRule="auto"/>
              <w:rPr>
                <w:b/>
              </w:rPr>
            </w:pPr>
            <w:r>
              <w:rPr>
                <w:b/>
              </w:rPr>
              <w:t>II. Des société face aux risques</w:t>
            </w:r>
          </w:p>
          <w:p w:rsidR="00A91566" w:rsidRDefault="00111ACE">
            <w:pPr>
              <w:tabs>
                <w:tab w:val="left" w:pos="1351"/>
              </w:tabs>
              <w:spacing w:after="0" w:line="240" w:lineRule="auto"/>
              <w:rPr>
                <w:b/>
              </w:rPr>
            </w:pPr>
            <w:r>
              <w:rPr>
                <w:b/>
              </w:rPr>
              <w:t>Problématique: pourquoi les sociétés sont-elles inégalement exposées et vulnérables face aux risques ?</w:t>
            </w:r>
          </w:p>
          <w:p w:rsidR="00A91566" w:rsidRDefault="00111ACE">
            <w:pPr>
              <w:tabs>
                <w:tab w:val="left" w:pos="1351"/>
              </w:tabs>
              <w:spacing w:after="0" w:line="240" w:lineRule="auto"/>
            </w:pPr>
            <w:r>
              <w:t>En repartant du changement climatique évoqué dans l'étude de cas , on peut procéder à un élargissement et à des précisions conceptuelles (catastrophe, risque, aléa, vulnérabilité…), puis la question sera essentiellement conduite à partir de planisphères, par exemple ceux de l'indice mondial du risque qui décomposent exposition aux aléas naturels et vulnérabilité. C'est ainsi l'occasion d'évoquer les grands foyers de peuplement et les principales caractéristiques des différents milieux (notion évoquée dans l'EDC ). Les risques technologiques sont repris de l'étude de cas et seront retravaillés à plus grande échelle dans la partie consacrée à la France.</w:t>
            </w:r>
          </w:p>
          <w:p w:rsidR="00A91566" w:rsidRDefault="00111ACE">
            <w:pPr>
              <w:tabs>
                <w:tab w:val="left" w:pos="1351"/>
              </w:tabs>
              <w:spacing w:after="0" w:line="240" w:lineRule="auto"/>
            </w:pPr>
            <w:r>
              <w:t xml:space="preserve">Un dernier temps sera consacré à l'inégalité de la gestion des risques, avec les 3 P, notamment en liaison avec les niveaux de développement.  </w:t>
            </w:r>
          </w:p>
          <w:p w:rsidR="00A91566" w:rsidRDefault="00111ACE">
            <w:pPr>
              <w:tabs>
                <w:tab w:val="left" w:pos="1351"/>
              </w:tabs>
              <w:spacing w:after="0" w:line="240" w:lineRule="auto"/>
              <w:rPr>
                <w:b/>
              </w:rPr>
            </w:pPr>
            <w:r>
              <w:rPr>
                <w:b/>
              </w:rPr>
              <w:t>III. Des ressources majeures sous pression: tensions, gestion</w:t>
            </w:r>
          </w:p>
          <w:p w:rsidR="00A91566" w:rsidRDefault="00111ACE">
            <w:pPr>
              <w:tabs>
                <w:tab w:val="left" w:pos="1351"/>
              </w:tabs>
              <w:spacing w:after="0" w:line="240" w:lineRule="auto"/>
              <w:rPr>
                <w:b/>
              </w:rPr>
            </w:pPr>
            <w:r>
              <w:rPr>
                <w:b/>
              </w:rPr>
              <w:t>Problématique: comment garantir un approvisionnement durable en ressources énergétiques ?</w:t>
            </w:r>
          </w:p>
          <w:p w:rsidR="00A91566" w:rsidRDefault="00111ACE">
            <w:pPr>
              <w:tabs>
                <w:tab w:val="left" w:pos="1351"/>
              </w:tabs>
              <w:spacing w:after="0" w:line="240" w:lineRule="auto"/>
            </w:pPr>
            <w:r>
              <w:t>Le choix des ressources énergétiques et des hydrocarbures en particulier s'impose en liaison avec l'étude de cas.</w:t>
            </w:r>
          </w:p>
          <w:p w:rsidR="00A91566" w:rsidRDefault="00111ACE">
            <w:pPr>
              <w:tabs>
                <w:tab w:val="left" w:pos="1351"/>
              </w:tabs>
              <w:spacing w:after="0" w:line="240" w:lineRule="auto"/>
            </w:pPr>
            <w:r>
              <w:rPr>
                <w:b/>
              </w:rPr>
              <w:t>A. Une ressource essentielle</w:t>
            </w:r>
            <w:r>
              <w:t>.</w:t>
            </w:r>
          </w:p>
          <w:p w:rsidR="00A91566" w:rsidRDefault="00111ACE">
            <w:pPr>
              <w:tabs>
                <w:tab w:val="left" w:pos="1351"/>
              </w:tabs>
              <w:spacing w:after="0" w:line="240" w:lineRule="auto"/>
            </w:pPr>
            <w:r>
              <w:t xml:space="preserve">A partir de graphiques, montrer que les hydrocarbures restent dominants dans le bilan énergétique mondial et que les besoins sont </w:t>
            </w:r>
            <w:r>
              <w:lastRenderedPageBreak/>
              <w:t>croissants face à la croissance démographique et surtout le développement économique des pays émergents. A partir de planisphères, montrer que la ressource est inégalement répartie et consommée.</w:t>
            </w:r>
          </w:p>
          <w:p w:rsidR="00A91566" w:rsidRDefault="00111ACE">
            <w:pPr>
              <w:tabs>
                <w:tab w:val="left" w:pos="1351"/>
              </w:tabs>
              <w:spacing w:after="0" w:line="240" w:lineRule="auto"/>
              <w:rPr>
                <w:b/>
              </w:rPr>
            </w:pPr>
            <w:r>
              <w:rPr>
                <w:b/>
              </w:rPr>
              <w:t xml:space="preserve">B. Des tensions </w:t>
            </w:r>
          </w:p>
          <w:p w:rsidR="00A91566" w:rsidRDefault="00111ACE">
            <w:pPr>
              <w:tabs>
                <w:tab w:val="left" w:pos="1351"/>
              </w:tabs>
              <w:spacing w:after="0" w:line="240" w:lineRule="auto"/>
            </w:pPr>
            <w:r>
              <w:t>En s'appuyant sur l'étude de cas, complétée par quelques exemples, on dégage les impacts environnementaux, les tensions géopolitiques et les enjeux économiques d'une ressource non renouvelable et en voie de raréfaction.</w:t>
            </w:r>
          </w:p>
          <w:p w:rsidR="00A91566" w:rsidRDefault="00111ACE">
            <w:pPr>
              <w:tabs>
                <w:tab w:val="left" w:pos="1351"/>
              </w:tabs>
              <w:spacing w:after="0" w:line="240" w:lineRule="auto"/>
            </w:pPr>
            <w:r>
              <w:rPr>
                <w:b/>
              </w:rPr>
              <w:t>C. Quelles stratégies face à ce défi ?</w:t>
            </w:r>
            <w:r>
              <w:t xml:space="preserve"> </w:t>
            </w:r>
          </w:p>
          <w:p w:rsidR="00A91566" w:rsidRDefault="00111ACE">
            <w:pPr>
              <w:tabs>
                <w:tab w:val="left" w:pos="1351"/>
              </w:tabs>
              <w:spacing w:after="0" w:line="240" w:lineRule="auto"/>
            </w:pPr>
            <w:r>
              <w:t>La transition énergétique repose sur la gestion de trois grands enjeux: une maitrise de la consommation, le développement des énergies renouvelables et la place des énergies fossiles et du nucléaire dans la phase de transition. L'ampleur et le rythme de leur mise en œuvre relèvent de choix de société. On peut s'appuyer sur quelques exemples d'États pour montrer la diversité des choix et des enjeux, en terminant par la France.</w:t>
            </w:r>
          </w:p>
          <w:p w:rsidR="00A91566" w:rsidRDefault="00A91566">
            <w:pPr>
              <w:tabs>
                <w:tab w:val="left" w:pos="1351"/>
              </w:tabs>
              <w:spacing w:after="0" w:line="240" w:lineRule="auto"/>
            </w:pPr>
          </w:p>
          <w:p w:rsidR="00A91566" w:rsidRDefault="00111ACE">
            <w:pPr>
              <w:tabs>
                <w:tab w:val="left" w:pos="1351"/>
              </w:tabs>
              <w:spacing w:after="0" w:line="240" w:lineRule="auto"/>
              <w:rPr>
                <w:b/>
              </w:rPr>
            </w:pPr>
            <w:r>
              <w:rPr>
                <w:b/>
              </w:rPr>
              <w:t>IV. La France: des milieux métropolitains et ultramarins entre valorisation et protection</w:t>
            </w:r>
          </w:p>
          <w:p w:rsidR="00A91566" w:rsidRDefault="00111ACE">
            <w:pPr>
              <w:tabs>
                <w:tab w:val="left" w:pos="1351"/>
              </w:tabs>
              <w:spacing w:after="0" w:line="240" w:lineRule="auto"/>
            </w:pPr>
            <w:r>
              <w:t xml:space="preserve">La problématique est la reprise de la problématique du thème, centrée sur la France. On peut suivre une démarche </w:t>
            </w:r>
            <w:proofErr w:type="spellStart"/>
            <w:r>
              <w:t>multiscalaire</w:t>
            </w:r>
            <w:proofErr w:type="spellEnd"/>
            <w:r>
              <w:t xml:space="preserve">. </w:t>
            </w:r>
          </w:p>
          <w:p w:rsidR="00A91566" w:rsidRDefault="00111ACE">
            <w:pPr>
              <w:tabs>
                <w:tab w:val="left" w:pos="1351"/>
              </w:tabs>
              <w:spacing w:after="0" w:line="240" w:lineRule="auto"/>
            </w:pPr>
            <w:r>
              <w:t>Dans un premier temps, montrer la diversité des milieux (reprise II, schéma possible), la forte anthropisation et l'inégale vulnérabilité à l'échelle nationale. Les territoires ultramarins sont particulièrement intégrés ici.</w:t>
            </w:r>
          </w:p>
          <w:p w:rsidR="00A91566" w:rsidRDefault="00111ACE">
            <w:pPr>
              <w:tabs>
                <w:tab w:val="left" w:pos="1351"/>
              </w:tabs>
              <w:spacing w:after="0" w:line="240" w:lineRule="auto"/>
            </w:pPr>
            <w:r>
              <w:t xml:space="preserve">Ensuite, on peut développer un exemple à moyenne échelle comme les Alpes ou le littoral languedocien par exemple. L'accent sera mis sur la valorisation d'un milieu dans le cadre d'aménagements nationaux et européens mais aussi sa fragilisation et les actions de protection. </w:t>
            </w:r>
          </w:p>
          <w:p w:rsidR="00A91566" w:rsidRDefault="00111ACE">
            <w:pPr>
              <w:tabs>
                <w:tab w:val="left" w:pos="1351"/>
              </w:tabs>
              <w:spacing w:after="0" w:line="240" w:lineRule="auto"/>
            </w:pPr>
            <w:r>
              <w:t xml:space="preserve">Enfin, on peut terminer par une étude sur la gestion des risques à l'échelle locale. Ce peut-être l'occasion d'un travail sur un site internet comme </w:t>
            </w:r>
            <w:hyperlink r:id="rId7" w:history="1">
              <w:r w:rsidR="00E105DB" w:rsidRPr="008F1012">
                <w:rPr>
                  <w:rStyle w:val="Lienhypertexte"/>
                </w:rPr>
                <w:t>http://</w:t>
              </w:r>
              <w:proofErr w:type="spellStart"/>
              <w:r w:rsidR="00E105DB" w:rsidRPr="008F1012">
                <w:rPr>
                  <w:rStyle w:val="Lienhypertexte"/>
                </w:rPr>
                <w:t>www.georisques.gouv.fr</w:t>
              </w:r>
              <w:proofErr w:type="spellEnd"/>
            </w:hyperlink>
          </w:p>
          <w:p w:rsidR="00E105DB" w:rsidRDefault="00E105DB">
            <w:pPr>
              <w:tabs>
                <w:tab w:val="left" w:pos="1351"/>
              </w:tabs>
              <w:spacing w:after="0" w:line="240" w:lineRule="auto"/>
            </w:pPr>
          </w:p>
        </w:tc>
      </w:tr>
      <w:tr w:rsidR="00A91566">
        <w:trPr>
          <w:trHeight w:val="612"/>
        </w:trPr>
        <w:tc>
          <w:tcPr>
            <w:tcW w:w="3254" w:type="dxa"/>
            <w:tcBorders>
              <w:top w:val="single" w:sz="4" w:space="0" w:color="000001"/>
              <w:left w:val="single" w:sz="4" w:space="0" w:color="000001"/>
              <w:bottom w:val="single" w:sz="4" w:space="0" w:color="000001"/>
            </w:tcBorders>
            <w:shd w:val="clear" w:color="auto" w:fill="auto"/>
            <w:tcMar>
              <w:left w:w="50" w:type="dxa"/>
            </w:tcMar>
          </w:tcPr>
          <w:p w:rsidR="00A91566" w:rsidRDefault="00111ACE">
            <w:pPr>
              <w:spacing w:after="0" w:line="240" w:lineRule="auto"/>
            </w:pPr>
            <w:r>
              <w:lastRenderedPageBreak/>
              <w:t xml:space="preserve">Objectifs </w:t>
            </w:r>
          </w:p>
        </w:tc>
        <w:tc>
          <w:tcPr>
            <w:tcW w:w="119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111ACE">
            <w:pPr>
              <w:spacing w:after="0" w:line="240" w:lineRule="auto"/>
            </w:pPr>
            <w:r>
              <w:t>Faire comprendre les grands bouleversements environnementaux et les défis qu'ils représentent pour les sociétés humaines</w:t>
            </w:r>
          </w:p>
        </w:tc>
      </w:tr>
      <w:tr w:rsidR="00A91566" w:rsidTr="00F367E9">
        <w:trPr>
          <w:trHeight w:val="637"/>
        </w:trPr>
        <w:tc>
          <w:tcPr>
            <w:tcW w:w="3254" w:type="dxa"/>
            <w:tcBorders>
              <w:top w:val="single" w:sz="4" w:space="0" w:color="000001"/>
              <w:left w:val="single" w:sz="4" w:space="0" w:color="000001"/>
              <w:bottom w:val="single" w:sz="4" w:space="0" w:color="000001"/>
            </w:tcBorders>
            <w:shd w:val="clear" w:color="auto" w:fill="auto"/>
            <w:tcMar>
              <w:left w:w="50" w:type="dxa"/>
            </w:tcMar>
          </w:tcPr>
          <w:p w:rsidR="00A91566" w:rsidRDefault="00111ACE">
            <w:pPr>
              <w:spacing w:after="0" w:line="240" w:lineRule="auto"/>
            </w:pPr>
            <w:r>
              <w:t>Capacités et méthodes</w:t>
            </w:r>
          </w:p>
        </w:tc>
        <w:tc>
          <w:tcPr>
            <w:tcW w:w="119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111ACE">
            <w:pPr>
              <w:spacing w:after="0" w:line="240" w:lineRule="auto"/>
            </w:pPr>
            <w:r>
              <w:t xml:space="preserve">Utiliser une approche  géographique pour mener une analyse et mener une argumentation. Analyser des documents de nature diverse. Utiliser l'échelle appropriée pour étudier un phénomène. Nommer et localiser des grands repères géographiques. </w:t>
            </w:r>
          </w:p>
        </w:tc>
      </w:tr>
      <w:tr w:rsidR="00A91566" w:rsidTr="00F367E9">
        <w:trPr>
          <w:trHeight w:val="1101"/>
        </w:trPr>
        <w:tc>
          <w:tcPr>
            <w:tcW w:w="3254" w:type="dxa"/>
            <w:tcBorders>
              <w:top w:val="single" w:sz="4" w:space="0" w:color="000001"/>
              <w:left w:val="single" w:sz="4" w:space="0" w:color="000001"/>
              <w:bottom w:val="single" w:sz="4" w:space="0" w:color="000001"/>
            </w:tcBorders>
            <w:shd w:val="clear" w:color="auto" w:fill="auto"/>
            <w:tcMar>
              <w:left w:w="50" w:type="dxa"/>
            </w:tcMar>
          </w:tcPr>
          <w:p w:rsidR="00A91566" w:rsidRDefault="00111ACE">
            <w:pPr>
              <w:spacing w:after="0" w:line="240" w:lineRule="auto"/>
            </w:pPr>
            <w:r>
              <w:t>Ressources complémentaires</w:t>
            </w:r>
          </w:p>
        </w:tc>
        <w:tc>
          <w:tcPr>
            <w:tcW w:w="119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A91566" w:rsidRDefault="00111ACE">
            <w:pPr>
              <w:spacing w:after="0" w:line="240" w:lineRule="auto"/>
            </w:pPr>
            <w:r>
              <w:t xml:space="preserve">E De </w:t>
            </w:r>
            <w:proofErr w:type="spellStart"/>
            <w:r>
              <w:t>Bélizal</w:t>
            </w:r>
            <w:proofErr w:type="spellEnd"/>
            <w:r>
              <w:t xml:space="preserve"> et al., </w:t>
            </w:r>
            <w:r>
              <w:rPr>
                <w:i/>
              </w:rPr>
              <w:t>Géographie de l'environnement</w:t>
            </w:r>
            <w:r>
              <w:t xml:space="preserve">, </w:t>
            </w:r>
            <w:proofErr w:type="spellStart"/>
            <w:r>
              <w:t>A.Colin</w:t>
            </w:r>
            <w:proofErr w:type="spellEnd"/>
            <w:r>
              <w:t>, 2017</w:t>
            </w:r>
          </w:p>
          <w:p w:rsidR="00A91566" w:rsidRDefault="00111ACE">
            <w:pPr>
              <w:spacing w:after="0" w:line="240" w:lineRule="auto"/>
            </w:pPr>
            <w:r>
              <w:t>Documentation photographique: Des hommes et des risques,2016</w:t>
            </w:r>
          </w:p>
          <w:p w:rsidR="00E105DB" w:rsidRDefault="00E105DB" w:rsidP="00E105DB">
            <w:pPr>
              <w:spacing w:after="0" w:line="240" w:lineRule="auto"/>
            </w:pPr>
            <w:hyperlink r:id="rId8" w:history="1">
              <w:r w:rsidRPr="008F1012">
                <w:rPr>
                  <w:rStyle w:val="Lienhypertexte"/>
                </w:rPr>
                <w:t>https://</w:t>
              </w:r>
              <w:proofErr w:type="spellStart"/>
              <w:r w:rsidRPr="008F1012">
                <w:rPr>
                  <w:rStyle w:val="Lienhypertexte"/>
                </w:rPr>
                <w:t>germanwatch.org</w:t>
              </w:r>
              <w:proofErr w:type="spellEnd"/>
              <w:r w:rsidRPr="008F1012">
                <w:rPr>
                  <w:rStyle w:val="Lienhypertexte"/>
                </w:rPr>
                <w:t>/en</w:t>
              </w:r>
            </w:hyperlink>
            <w:bookmarkStart w:id="0" w:name="_GoBack"/>
            <w:bookmarkEnd w:id="0"/>
          </w:p>
          <w:p w:rsidR="00A91566" w:rsidRDefault="00E105DB" w:rsidP="00E105DB">
            <w:pPr>
              <w:spacing w:after="0" w:line="240" w:lineRule="auto"/>
            </w:pPr>
            <w:hyperlink r:id="rId9" w:history="1">
              <w:r w:rsidRPr="008F1012">
                <w:rPr>
                  <w:rStyle w:val="Lienhypertexte"/>
                </w:rPr>
                <w:t>http://</w:t>
              </w:r>
              <w:proofErr w:type="spellStart"/>
              <w:r w:rsidRPr="008F1012">
                <w:rPr>
                  <w:rStyle w:val="Lienhypertexte"/>
                </w:rPr>
                <w:t>www.georisques.gouv.fr</w:t>
              </w:r>
              <w:proofErr w:type="spellEnd"/>
            </w:hyperlink>
          </w:p>
          <w:p w:rsidR="00E105DB" w:rsidRDefault="00E105DB" w:rsidP="00E105DB">
            <w:pPr>
              <w:spacing w:after="0" w:line="240" w:lineRule="auto"/>
            </w:pPr>
          </w:p>
        </w:tc>
      </w:tr>
    </w:tbl>
    <w:p w:rsidR="00A91566" w:rsidRPr="007B0275" w:rsidRDefault="00A91566" w:rsidP="007B0275">
      <w:pPr>
        <w:tabs>
          <w:tab w:val="left" w:pos="9293"/>
        </w:tabs>
      </w:pPr>
    </w:p>
    <w:sectPr w:rsidR="00A91566" w:rsidRPr="007B0275">
      <w:headerReference w:type="even" r:id="rId10"/>
      <w:headerReference w:type="default" r:id="rId11"/>
      <w:footerReference w:type="even" r:id="rId12"/>
      <w:footerReference w:type="default" r:id="rId13"/>
      <w:headerReference w:type="first" r:id="rId14"/>
      <w:footerReference w:type="first" r:id="rId15"/>
      <w:pgSz w:w="16838" w:h="11906" w:orient="landscape"/>
      <w:pgMar w:top="765" w:right="720" w:bottom="765" w:left="72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135" w:rsidRDefault="00C13135">
      <w:pPr>
        <w:spacing w:after="0" w:line="240" w:lineRule="auto"/>
      </w:pPr>
      <w:r>
        <w:separator/>
      </w:r>
    </w:p>
  </w:endnote>
  <w:endnote w:type="continuationSeparator" w:id="0">
    <w:p w:rsidR="00C13135" w:rsidRDefault="00C1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Droid Sans Devanagari">
    <w:altName w:val="Calibri"/>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75" w:rsidRDefault="007B0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566" w:rsidRDefault="00111ACE">
    <w:pPr>
      <w:pStyle w:val="Pieddepage"/>
    </w:pPr>
    <w:r>
      <w:t>Ressources académiques Histoire-géographie, groupe Travail lycée, académie de Besançon, année 2018-2019</w:t>
    </w:r>
  </w:p>
  <w:p w:rsidR="00A91566" w:rsidRDefault="00A915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75" w:rsidRDefault="007B02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135" w:rsidRDefault="00C13135">
      <w:pPr>
        <w:spacing w:after="0" w:line="240" w:lineRule="auto"/>
      </w:pPr>
      <w:r>
        <w:separator/>
      </w:r>
    </w:p>
  </w:footnote>
  <w:footnote w:type="continuationSeparator" w:id="0">
    <w:p w:rsidR="00C13135" w:rsidRDefault="00C1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75" w:rsidRDefault="007B02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566" w:rsidRDefault="00111ACE">
    <w:pPr>
      <w:pStyle w:val="En-tte"/>
      <w:jc w:val="center"/>
      <w:rPr>
        <w:b/>
      </w:rPr>
    </w:pPr>
    <w:r>
      <w:rPr>
        <w:b/>
      </w:rPr>
      <w:t>Fiche professeur</w:t>
    </w:r>
  </w:p>
  <w:p w:rsidR="00A91566" w:rsidRDefault="00111ACE">
    <w:pPr>
      <w:pStyle w:val="En-tte"/>
      <w:jc w:val="center"/>
      <w:rPr>
        <w:b/>
      </w:rPr>
    </w:pPr>
    <w:r>
      <w:rPr>
        <w:b/>
      </w:rPr>
      <w:t xml:space="preserve">Mise en </w:t>
    </w:r>
    <w:proofErr w:type="spellStart"/>
    <w:r>
      <w:rPr>
        <w:b/>
      </w:rPr>
      <w:t>oeuvre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75" w:rsidRDefault="007B02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008A"/>
    <w:multiLevelType w:val="multilevel"/>
    <w:tmpl w:val="9CE0C7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FB6691"/>
    <w:multiLevelType w:val="multilevel"/>
    <w:tmpl w:val="253499FE"/>
    <w:lvl w:ilvl="0">
      <w:start w:val="1"/>
      <w:numFmt w:val="bullet"/>
      <w:lvlText w:val=""/>
      <w:lvlJc w:val="left"/>
      <w:pPr>
        <w:ind w:left="2068"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66"/>
    <w:rsid w:val="00063535"/>
    <w:rsid w:val="00111ACE"/>
    <w:rsid w:val="007B0275"/>
    <w:rsid w:val="0087250C"/>
    <w:rsid w:val="00A91566"/>
    <w:rsid w:val="00C13135"/>
    <w:rsid w:val="00E105DB"/>
    <w:rsid w:val="00F367E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3904"/>
  <w15:docId w15:val="{9FA62538-283D-2145-9A6A-A7A7974C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ahoma" w:hAnsi="Liberation Serif" w:cs="Droid Sans Devanagari"/>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EE"/>
    <w:pPr>
      <w:spacing w:after="160" w:line="252" w:lineRule="auto"/>
    </w:pPr>
    <w:rPr>
      <w:rFonts w:ascii="Calibri" w:eastAsia="Calibri" w:hAnsi="Calibri" w:cs="Arial"/>
      <w:color w:val="00000A"/>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FA19EE"/>
    <w:rPr>
      <w:rFonts w:ascii="Symbol" w:hAnsi="Symbol" w:cs="Symbol"/>
    </w:rPr>
  </w:style>
  <w:style w:type="character" w:customStyle="1" w:styleId="WW8Num1z1">
    <w:name w:val="WW8Num1z1"/>
    <w:qFormat/>
    <w:rsid w:val="00FA19EE"/>
    <w:rPr>
      <w:rFonts w:ascii="Courier New" w:hAnsi="Courier New" w:cs="Courier New"/>
    </w:rPr>
  </w:style>
  <w:style w:type="character" w:customStyle="1" w:styleId="WW8Num1z2">
    <w:name w:val="WW8Num1z2"/>
    <w:qFormat/>
    <w:rsid w:val="00FA19EE"/>
    <w:rPr>
      <w:rFonts w:ascii="Wingdings" w:hAnsi="Wingdings" w:cs="Wingdings"/>
    </w:rPr>
  </w:style>
  <w:style w:type="character" w:customStyle="1" w:styleId="En-tteCar">
    <w:name w:val="En-tête Car"/>
    <w:basedOn w:val="Policepardfaut"/>
    <w:qFormat/>
    <w:rsid w:val="00FA19EE"/>
  </w:style>
  <w:style w:type="character" w:customStyle="1" w:styleId="PieddepageCar">
    <w:name w:val="Pied de page Car"/>
    <w:basedOn w:val="Policepardfaut"/>
    <w:qFormat/>
    <w:rsid w:val="00FA19E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paragraph" w:customStyle="1" w:styleId="Heading">
    <w:name w:val="Heading"/>
    <w:basedOn w:val="Normal"/>
    <w:next w:val="Corpsdetexte"/>
    <w:qFormat/>
    <w:rsid w:val="00FA19EE"/>
    <w:pPr>
      <w:keepNext/>
      <w:spacing w:before="240" w:after="120"/>
    </w:pPr>
    <w:rPr>
      <w:rFonts w:ascii="Liberation Sans" w:eastAsia="Tahoma" w:hAnsi="Liberation Sans" w:cs="Droid Sans Devanagari"/>
      <w:sz w:val="28"/>
      <w:szCs w:val="28"/>
    </w:rPr>
  </w:style>
  <w:style w:type="paragraph" w:styleId="Corpsdetexte">
    <w:name w:val="Body Text"/>
    <w:basedOn w:val="Normal"/>
    <w:rsid w:val="00FA19EE"/>
    <w:pPr>
      <w:spacing w:after="140" w:line="288" w:lineRule="auto"/>
    </w:pPr>
  </w:style>
  <w:style w:type="paragraph" w:styleId="Liste">
    <w:name w:val="List"/>
    <w:basedOn w:val="Corpsdetexte"/>
    <w:rsid w:val="00FA19EE"/>
    <w:rPr>
      <w:rFonts w:cs="Droid Sans Devanagari"/>
    </w:rPr>
  </w:style>
  <w:style w:type="paragraph" w:styleId="Lgende">
    <w:name w:val="caption"/>
    <w:basedOn w:val="Normal"/>
    <w:qFormat/>
    <w:rsid w:val="00FA19EE"/>
    <w:pPr>
      <w:suppressLineNumbers/>
      <w:spacing w:before="120" w:after="120"/>
    </w:pPr>
    <w:rPr>
      <w:rFonts w:cs="Droid Sans Devanagari"/>
      <w:i/>
      <w:iCs/>
      <w:sz w:val="24"/>
      <w:szCs w:val="24"/>
    </w:rPr>
  </w:style>
  <w:style w:type="paragraph" w:customStyle="1" w:styleId="Index">
    <w:name w:val="Index"/>
    <w:basedOn w:val="Normal"/>
    <w:qFormat/>
    <w:rsid w:val="00FA19EE"/>
    <w:pPr>
      <w:suppressLineNumbers/>
    </w:pPr>
    <w:rPr>
      <w:rFonts w:cs="Droid Sans Devanagari"/>
    </w:rPr>
  </w:style>
  <w:style w:type="paragraph" w:styleId="En-tte">
    <w:name w:val="header"/>
    <w:basedOn w:val="Normal"/>
    <w:rsid w:val="00FA19EE"/>
    <w:pPr>
      <w:tabs>
        <w:tab w:val="center" w:pos="4536"/>
        <w:tab w:val="right" w:pos="9072"/>
      </w:tabs>
      <w:spacing w:after="0" w:line="240" w:lineRule="auto"/>
    </w:pPr>
  </w:style>
  <w:style w:type="paragraph" w:styleId="Pieddepage">
    <w:name w:val="footer"/>
    <w:basedOn w:val="Normal"/>
    <w:rsid w:val="00FA19EE"/>
    <w:pPr>
      <w:tabs>
        <w:tab w:val="center" w:pos="4536"/>
        <w:tab w:val="right" w:pos="9072"/>
      </w:tabs>
      <w:spacing w:after="0" w:line="240" w:lineRule="auto"/>
    </w:pPr>
  </w:style>
  <w:style w:type="paragraph" w:customStyle="1" w:styleId="TableContents">
    <w:name w:val="Table Contents"/>
    <w:basedOn w:val="Normal"/>
    <w:qFormat/>
    <w:rsid w:val="00FA19EE"/>
    <w:pPr>
      <w:suppressLineNumbers/>
    </w:pPr>
  </w:style>
  <w:style w:type="paragraph" w:customStyle="1" w:styleId="TableHeading">
    <w:name w:val="Table Heading"/>
    <w:basedOn w:val="TableContents"/>
    <w:qFormat/>
    <w:rsid w:val="00FA19EE"/>
    <w:pPr>
      <w:jc w:val="center"/>
    </w:pPr>
    <w:rPr>
      <w:b/>
      <w:bCs/>
    </w:rPr>
  </w:style>
  <w:style w:type="numbering" w:customStyle="1" w:styleId="WW8Num1">
    <w:name w:val="WW8Num1"/>
    <w:qFormat/>
    <w:rsid w:val="00FA19EE"/>
  </w:style>
  <w:style w:type="character" w:styleId="Lienhypertexte">
    <w:name w:val="Hyperlink"/>
    <w:basedOn w:val="Policepardfaut"/>
    <w:uiPriority w:val="99"/>
    <w:unhideWhenUsed/>
    <w:rsid w:val="00E105DB"/>
    <w:rPr>
      <w:color w:val="0563C1" w:themeColor="hyperlink"/>
      <w:u w:val="single"/>
    </w:rPr>
  </w:style>
  <w:style w:type="character" w:styleId="Mentionnonrsolue">
    <w:name w:val="Unresolved Mention"/>
    <w:basedOn w:val="Policepardfaut"/>
    <w:uiPriority w:val="99"/>
    <w:semiHidden/>
    <w:unhideWhenUsed/>
    <w:rsid w:val="00E105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ermanwatch.or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eorisques.gouv.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orisques.gouv.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4189</Characters>
  <Application>Microsoft Office Word</Application>
  <DocSecurity>0</DocSecurity>
  <Lines>34</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Dupanloup</dc:creator>
  <dc:description/>
  <cp:lastModifiedBy>jp costille</cp:lastModifiedBy>
  <cp:revision>2</cp:revision>
  <dcterms:created xsi:type="dcterms:W3CDTF">2019-06-03T11:46:00Z</dcterms:created>
  <dcterms:modified xsi:type="dcterms:W3CDTF">2019-06-03T11:46:00Z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