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50" w:type="dxa"/>
        <w:tblInd w:w="-51"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3254"/>
        <w:gridCol w:w="1305"/>
        <w:gridCol w:w="10691"/>
      </w:tblGrid>
      <w:tr w:rsidR="0016689F">
        <w:trPr>
          <w:trHeight w:val="1125"/>
        </w:trPr>
        <w:tc>
          <w:tcPr>
            <w:tcW w:w="4559" w:type="dxa"/>
            <w:gridSpan w:val="2"/>
            <w:tcBorders>
              <w:top w:val="single" w:sz="4" w:space="0" w:color="000001"/>
              <w:left w:val="single" w:sz="4" w:space="0" w:color="000001"/>
              <w:bottom w:val="single" w:sz="4" w:space="0" w:color="000001"/>
            </w:tcBorders>
            <w:shd w:val="clear" w:color="auto" w:fill="auto"/>
            <w:tcMar>
              <w:left w:w="55" w:type="dxa"/>
            </w:tcMar>
          </w:tcPr>
          <w:p w:rsidR="0016689F" w:rsidRDefault="0016689F">
            <w:pPr>
              <w:spacing w:after="0" w:line="240" w:lineRule="auto"/>
            </w:pPr>
          </w:p>
          <w:p w:rsidR="0016689F" w:rsidRDefault="005E291C">
            <w:pPr>
              <w:spacing w:after="0" w:line="240" w:lineRule="auto"/>
            </w:pPr>
            <w:r>
              <w:t>Enseignement commun</w:t>
            </w:r>
          </w:p>
        </w:tc>
        <w:tc>
          <w:tcPr>
            <w:tcW w:w="10691"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Default="005E291C">
            <w:pPr>
              <w:spacing w:after="0" w:line="240" w:lineRule="auto"/>
            </w:pPr>
            <w:r w:rsidRPr="00D470E5">
              <w:rPr>
                <w:b/>
              </w:rPr>
              <w:t>Séquence</w:t>
            </w:r>
            <w:r>
              <w:t xml:space="preserve"> : </w:t>
            </w:r>
            <w:r w:rsidRPr="00D470E5">
              <w:rPr>
                <w:b/>
              </w:rPr>
              <w:t>L'affirmation de l'État dans le royaume de France</w:t>
            </w:r>
          </w:p>
          <w:p w:rsidR="0016689F" w:rsidRDefault="00D470E5">
            <w:pPr>
              <w:spacing w:after="0" w:line="240" w:lineRule="auto"/>
            </w:pPr>
            <w:r>
              <w:t>P</w:t>
            </w:r>
            <w:r w:rsidR="005E291C">
              <w:t>remière séquence dans le thème 3 : l’État à l’époque moderne France et Angleterre</w:t>
            </w:r>
          </w:p>
        </w:tc>
      </w:tr>
      <w:tr w:rsidR="0016689F">
        <w:trPr>
          <w:trHeight w:val="585"/>
        </w:trPr>
        <w:tc>
          <w:tcPr>
            <w:tcW w:w="3254" w:type="dxa"/>
            <w:tcBorders>
              <w:top w:val="single" w:sz="4" w:space="0" w:color="000001"/>
              <w:left w:val="single" w:sz="4" w:space="0" w:color="000001"/>
              <w:bottom w:val="single" w:sz="4" w:space="0" w:color="000001"/>
            </w:tcBorders>
            <w:shd w:val="clear" w:color="auto" w:fill="auto"/>
            <w:tcMar>
              <w:left w:w="55" w:type="dxa"/>
            </w:tcMar>
          </w:tcPr>
          <w:p w:rsidR="0016689F" w:rsidRDefault="00D470E5">
            <w:pPr>
              <w:spacing w:after="0" w:line="240" w:lineRule="auto"/>
            </w:pPr>
            <w:r>
              <w:t xml:space="preserve">Niveau: </w:t>
            </w:r>
            <w:r w:rsidRPr="00D470E5">
              <w:rPr>
                <w:b/>
              </w:rPr>
              <w:t>2 onde</w:t>
            </w:r>
          </w:p>
          <w:p w:rsidR="0016689F" w:rsidRDefault="005E291C">
            <w:pPr>
              <w:spacing w:after="0" w:line="240" w:lineRule="auto"/>
            </w:pPr>
            <w:r>
              <w:t xml:space="preserve">Durée : </w:t>
            </w:r>
            <w:r w:rsidRPr="00D470E5">
              <w:rPr>
                <w:b/>
              </w:rPr>
              <w:t>5-6H</w:t>
            </w:r>
          </w:p>
        </w:tc>
        <w:tc>
          <w:tcPr>
            <w:tcW w:w="11996" w:type="dxa"/>
            <w:gridSpan w:val="2"/>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Default="0016689F">
            <w:pPr>
              <w:snapToGrid w:val="0"/>
              <w:spacing w:after="0" w:line="240" w:lineRule="auto"/>
            </w:pPr>
          </w:p>
        </w:tc>
      </w:tr>
      <w:tr w:rsidR="0016689F">
        <w:trPr>
          <w:trHeight w:val="585"/>
        </w:trPr>
        <w:tc>
          <w:tcPr>
            <w:tcW w:w="3254" w:type="dxa"/>
            <w:tcBorders>
              <w:top w:val="single" w:sz="4" w:space="0" w:color="000001"/>
              <w:left w:val="single" w:sz="4" w:space="0" w:color="000001"/>
              <w:bottom w:val="single" w:sz="4" w:space="0" w:color="000001"/>
            </w:tcBorders>
            <w:shd w:val="clear" w:color="auto" w:fill="auto"/>
            <w:tcMar>
              <w:left w:w="55" w:type="dxa"/>
            </w:tcMar>
          </w:tcPr>
          <w:p w:rsidR="0016689F" w:rsidRDefault="005E291C">
            <w:pPr>
              <w:spacing w:after="0" w:line="240" w:lineRule="auto"/>
            </w:pPr>
            <w:r>
              <w:t>Notions clés</w:t>
            </w:r>
          </w:p>
        </w:tc>
        <w:tc>
          <w:tcPr>
            <w:tcW w:w="11996" w:type="dxa"/>
            <w:gridSpan w:val="2"/>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Pr="00D470E5" w:rsidRDefault="005E291C">
            <w:pPr>
              <w:spacing w:after="0" w:line="240" w:lineRule="auto"/>
              <w:rPr>
                <w:b/>
              </w:rPr>
            </w:pPr>
            <w:r w:rsidRPr="00D470E5">
              <w:rPr>
                <w:b/>
              </w:rPr>
              <w:t>Monarchie absolue, souveraineté, État, centralisation, mercantilisme,</w:t>
            </w:r>
          </w:p>
          <w:p w:rsidR="0016689F" w:rsidRDefault="005E291C">
            <w:pPr>
              <w:spacing w:after="0" w:line="240" w:lineRule="auto"/>
            </w:pPr>
            <w:r>
              <w:t xml:space="preserve"> Repères chronologiques incontournables : édit de Nantes (1598) et sa</w:t>
            </w:r>
            <w:r w:rsidR="00D470E5">
              <w:t xml:space="preserve"> révocation (1685), siècle de Louis </w:t>
            </w:r>
            <w:r>
              <w:t>XIV (1661-1715)</w:t>
            </w:r>
          </w:p>
          <w:p w:rsidR="0016689F" w:rsidRDefault="0016689F">
            <w:pPr>
              <w:spacing w:after="0" w:line="240" w:lineRule="auto"/>
            </w:pPr>
          </w:p>
        </w:tc>
      </w:tr>
      <w:tr w:rsidR="0016689F">
        <w:trPr>
          <w:trHeight w:val="397"/>
        </w:trPr>
        <w:tc>
          <w:tcPr>
            <w:tcW w:w="3254" w:type="dxa"/>
            <w:tcBorders>
              <w:top w:val="single" w:sz="4" w:space="0" w:color="000001"/>
              <w:left w:val="single" w:sz="4" w:space="0" w:color="000001"/>
              <w:bottom w:val="single" w:sz="4" w:space="0" w:color="00000A"/>
            </w:tcBorders>
            <w:shd w:val="clear" w:color="auto" w:fill="auto"/>
            <w:tcMar>
              <w:left w:w="55" w:type="dxa"/>
            </w:tcMar>
          </w:tcPr>
          <w:p w:rsidR="0016689F" w:rsidRDefault="005E291C">
            <w:pPr>
              <w:spacing w:after="0" w:line="240" w:lineRule="auto"/>
            </w:pPr>
            <w:r>
              <w:t>Problématique</w:t>
            </w:r>
          </w:p>
          <w:p w:rsidR="0016689F" w:rsidRDefault="0016689F">
            <w:pPr>
              <w:spacing w:after="0" w:line="240" w:lineRule="auto"/>
            </w:pPr>
          </w:p>
        </w:tc>
        <w:tc>
          <w:tcPr>
            <w:tcW w:w="11996" w:type="dxa"/>
            <w:gridSpan w:val="2"/>
            <w:tcBorders>
              <w:top w:val="single" w:sz="4" w:space="0" w:color="000001"/>
              <w:left w:val="single" w:sz="4" w:space="0" w:color="000001"/>
              <w:bottom w:val="single" w:sz="4" w:space="0" w:color="00000A"/>
              <w:right w:val="single" w:sz="4" w:space="0" w:color="000001"/>
            </w:tcBorders>
            <w:shd w:val="clear" w:color="auto" w:fill="auto"/>
            <w:tcMar>
              <w:left w:w="55" w:type="dxa"/>
            </w:tcMar>
          </w:tcPr>
          <w:p w:rsidR="0016689F" w:rsidRPr="00D470E5" w:rsidRDefault="005E291C">
            <w:pPr>
              <w:spacing w:after="0" w:line="240" w:lineRule="auto"/>
              <w:rPr>
                <w:b/>
              </w:rPr>
            </w:pPr>
            <w:r w:rsidRPr="00D470E5">
              <w:rPr>
                <w:b/>
              </w:rPr>
              <w:t>Comment l'autorité royale et l'État se renforcent-ils dans le royaume de France à l'époque moderne?</w:t>
            </w:r>
          </w:p>
        </w:tc>
      </w:tr>
      <w:tr w:rsidR="0016689F">
        <w:trPr>
          <w:trHeight w:val="177"/>
        </w:trPr>
        <w:tc>
          <w:tcPr>
            <w:tcW w:w="3254" w:type="dxa"/>
            <w:tcBorders>
              <w:top w:val="single" w:sz="4" w:space="0" w:color="00000A"/>
              <w:left w:val="single" w:sz="4" w:space="0" w:color="000001"/>
              <w:bottom w:val="single" w:sz="4" w:space="0" w:color="000001"/>
            </w:tcBorders>
            <w:shd w:val="clear" w:color="auto" w:fill="auto"/>
            <w:tcMar>
              <w:left w:w="55" w:type="dxa"/>
            </w:tcMar>
          </w:tcPr>
          <w:p w:rsidR="0016689F" w:rsidRDefault="005E291C">
            <w:pPr>
              <w:spacing w:after="0" w:line="240" w:lineRule="auto"/>
            </w:pPr>
            <w:r>
              <w:t xml:space="preserve">Objectifs </w:t>
            </w:r>
          </w:p>
          <w:p w:rsidR="0016689F" w:rsidRDefault="0016689F">
            <w:pPr>
              <w:spacing w:after="0" w:line="240" w:lineRule="auto"/>
            </w:pPr>
          </w:p>
        </w:tc>
        <w:tc>
          <w:tcPr>
            <w:tcW w:w="11996" w:type="dxa"/>
            <w:gridSpan w:val="2"/>
            <w:tcBorders>
              <w:top w:val="single" w:sz="4" w:space="0" w:color="00000A"/>
              <w:left w:val="single" w:sz="4" w:space="0" w:color="000001"/>
              <w:bottom w:val="single" w:sz="4" w:space="0" w:color="000001"/>
              <w:right w:val="single" w:sz="4" w:space="0" w:color="000001"/>
            </w:tcBorders>
            <w:shd w:val="clear" w:color="auto" w:fill="auto"/>
            <w:tcMar>
              <w:left w:w="55" w:type="dxa"/>
            </w:tcMar>
          </w:tcPr>
          <w:p w:rsidR="0016689F" w:rsidRDefault="005E291C">
            <w:pPr>
              <w:spacing w:after="0" w:line="240" w:lineRule="auto"/>
            </w:pPr>
            <w:r>
              <w:t>Faire comprendre que le pouvoir royal tend à devenir absolu à l'époque moderne et que l'État s'impose dans le royaume de France.</w:t>
            </w:r>
          </w:p>
        </w:tc>
      </w:tr>
      <w:tr w:rsidR="0016689F">
        <w:trPr>
          <w:trHeight w:val="612"/>
        </w:trPr>
        <w:tc>
          <w:tcPr>
            <w:tcW w:w="3254" w:type="dxa"/>
            <w:tcBorders>
              <w:top w:val="single" w:sz="4" w:space="0" w:color="000001"/>
              <w:left w:val="single" w:sz="4" w:space="0" w:color="000001"/>
              <w:bottom w:val="single" w:sz="4" w:space="0" w:color="000001"/>
            </w:tcBorders>
            <w:shd w:val="clear" w:color="auto" w:fill="auto"/>
            <w:tcMar>
              <w:left w:w="55" w:type="dxa"/>
            </w:tcMar>
          </w:tcPr>
          <w:p w:rsidR="0016689F" w:rsidRDefault="0016689F">
            <w:pPr>
              <w:spacing w:after="0" w:line="240" w:lineRule="auto"/>
            </w:pPr>
          </w:p>
          <w:p w:rsidR="0016689F" w:rsidRDefault="0016689F">
            <w:pPr>
              <w:spacing w:after="0" w:line="240" w:lineRule="auto"/>
            </w:pPr>
          </w:p>
          <w:p w:rsidR="0016689F" w:rsidRDefault="005E291C">
            <w:pPr>
              <w:spacing w:after="0" w:line="240" w:lineRule="auto"/>
            </w:pPr>
            <w:r>
              <w:t>Démarche et pistes de travail</w:t>
            </w:r>
          </w:p>
          <w:p w:rsidR="0016689F" w:rsidRDefault="0016689F">
            <w:pPr>
              <w:spacing w:after="0" w:line="240" w:lineRule="auto"/>
            </w:pPr>
          </w:p>
          <w:p w:rsidR="0016689F" w:rsidRDefault="0016689F">
            <w:pPr>
              <w:spacing w:after="0" w:line="240" w:lineRule="auto"/>
            </w:pPr>
          </w:p>
        </w:tc>
        <w:tc>
          <w:tcPr>
            <w:tcW w:w="11996" w:type="dxa"/>
            <w:gridSpan w:val="2"/>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Default="005E291C">
            <w:pPr>
              <w:tabs>
                <w:tab w:val="left" w:pos="1351"/>
              </w:tabs>
              <w:spacing w:after="0" w:line="240" w:lineRule="auto"/>
            </w:pPr>
            <w:r>
              <w:t>Les élèves ont étudié au cycle 3 (« Le temps des rois : François Ier, un protecteur des Arts et des Lettres à la Renaissance ; Henri IV et l’édit de Nantes ; Louis XIV, le roi Soleil à Versailles ») et cycle 4 (« Du Prince de la Renaissance au roi absolu François Ier, Henri IV, Louis XIV »), on peut s'appuyer sur ces acquis et privilégier une entrée par la souveraineté royale.</w:t>
            </w:r>
          </w:p>
          <w:p w:rsidR="0016689F" w:rsidRDefault="0016689F">
            <w:pPr>
              <w:tabs>
                <w:tab w:val="left" w:pos="1351"/>
              </w:tabs>
              <w:spacing w:after="0" w:line="240" w:lineRule="auto"/>
            </w:pPr>
          </w:p>
          <w:p w:rsidR="0016689F" w:rsidRDefault="005E291C">
            <w:pPr>
              <w:pStyle w:val="Paragraphedeliste"/>
              <w:numPr>
                <w:ilvl w:val="0"/>
                <w:numId w:val="1"/>
              </w:numPr>
              <w:tabs>
                <w:tab w:val="left" w:pos="1351"/>
              </w:tabs>
              <w:spacing w:after="0" w:line="240" w:lineRule="auto"/>
            </w:pPr>
            <w:r>
              <w:rPr>
                <w:b/>
              </w:rPr>
              <w:t>L'affirmation d'un roi « absolu » à l'époque moderne</w:t>
            </w:r>
            <w:r>
              <w:t xml:space="preserve"> </w:t>
            </w:r>
          </w:p>
          <w:p w:rsidR="0016689F" w:rsidRDefault="005E291C">
            <w:pPr>
              <w:tabs>
                <w:tab w:val="left" w:pos="1351"/>
              </w:tabs>
              <w:spacing w:after="0" w:line="240" w:lineRule="auto"/>
            </w:pPr>
            <w:r>
              <w:rPr>
                <w:i/>
              </w:rPr>
              <w:t>importance de relativiser ce pouvoir absolu en montrant dans chacune des entrées les limites du pouvoir royal et la construction postérieure du concept d’absolutisme</w:t>
            </w:r>
          </w:p>
          <w:p w:rsidR="0016689F" w:rsidRDefault="0016689F">
            <w:pPr>
              <w:tabs>
                <w:tab w:val="left" w:pos="1351"/>
              </w:tabs>
              <w:spacing w:after="0" w:line="240" w:lineRule="auto"/>
              <w:rPr>
                <w:i/>
              </w:rPr>
            </w:pPr>
          </w:p>
          <w:p w:rsidR="0016689F" w:rsidRDefault="005E291C">
            <w:pPr>
              <w:pStyle w:val="Paragraphedeliste"/>
              <w:numPr>
                <w:ilvl w:val="0"/>
                <w:numId w:val="2"/>
              </w:numPr>
              <w:tabs>
                <w:tab w:val="left" w:pos="1351"/>
              </w:tabs>
              <w:spacing w:after="0" w:line="240" w:lineRule="auto"/>
              <w:rPr>
                <w:b/>
              </w:rPr>
            </w:pPr>
            <w:r>
              <w:rPr>
                <w:b/>
              </w:rPr>
              <w:t>Imposer la suprématie royale</w:t>
            </w:r>
          </w:p>
          <w:p w:rsidR="0016689F" w:rsidRDefault="005E291C">
            <w:pPr>
              <w:tabs>
                <w:tab w:val="left" w:pos="1351"/>
              </w:tabs>
              <w:spacing w:after="0" w:line="240" w:lineRule="auto"/>
            </w:pPr>
            <w:r>
              <w:t xml:space="preserve">On peut proposer une activité TICE autour de quelques représentations de souverains en majesté (François 1°, Henri III, Henri IV, Louis XIII, Louis XIV et Louis XV ) couplé à quelques extraits de théoriciens de la monarchie absolue (Bodin, </w:t>
            </w:r>
            <w:proofErr w:type="spellStart"/>
            <w:r>
              <w:t>Loyseau</w:t>
            </w:r>
            <w:proofErr w:type="spellEnd"/>
            <w:r>
              <w:t>, Bossuet…) afin de dégager les symboles et les ressorts du pouvoir</w:t>
            </w:r>
          </w:p>
          <w:p w:rsidR="0016689F" w:rsidRDefault="005E291C">
            <w:pPr>
              <w:tabs>
                <w:tab w:val="left" w:pos="1351"/>
              </w:tabs>
              <w:spacing w:after="0" w:line="240" w:lineRule="auto"/>
            </w:pPr>
            <w:r>
              <w:t>La mise en commun permet de montrer :</w:t>
            </w:r>
          </w:p>
          <w:p w:rsidR="0016689F" w:rsidRDefault="005E291C">
            <w:pPr>
              <w:pStyle w:val="Paragraphedeliste"/>
              <w:numPr>
                <w:ilvl w:val="0"/>
                <w:numId w:val="3"/>
              </w:numPr>
              <w:tabs>
                <w:tab w:val="left" w:pos="1351"/>
              </w:tabs>
              <w:spacing w:after="0" w:line="240" w:lineRule="auto"/>
            </w:pPr>
            <w:r>
              <w:t xml:space="preserve">l’ exaltation de la majesté du roi </w:t>
            </w:r>
            <w:r>
              <w:rPr>
                <w:rFonts w:ascii="Wingdings" w:eastAsia="Wingdings" w:hAnsi="Wingdings" w:cs="Wingdings"/>
              </w:rPr>
              <w:t></w:t>
            </w:r>
            <w:r>
              <w:t xml:space="preserve"> sacralisation</w:t>
            </w:r>
          </w:p>
          <w:p w:rsidR="0016689F" w:rsidRDefault="005E291C">
            <w:pPr>
              <w:pStyle w:val="Paragraphedeliste"/>
              <w:numPr>
                <w:ilvl w:val="0"/>
                <w:numId w:val="3"/>
              </w:numPr>
              <w:tabs>
                <w:tab w:val="left" w:pos="1351"/>
              </w:tabs>
              <w:spacing w:after="0" w:line="240" w:lineRule="auto"/>
            </w:pPr>
            <w:r>
              <w:t>Et que l’affirmation du pouvoir royal s’inscrit dans le temps long</w:t>
            </w:r>
          </w:p>
          <w:p w:rsidR="0016689F" w:rsidRDefault="0016689F">
            <w:pPr>
              <w:pStyle w:val="Paragraphedeliste"/>
              <w:tabs>
                <w:tab w:val="left" w:pos="1351"/>
              </w:tabs>
              <w:spacing w:after="0" w:line="240" w:lineRule="auto"/>
            </w:pPr>
          </w:p>
          <w:p w:rsidR="0016689F" w:rsidRDefault="005E291C">
            <w:pPr>
              <w:tabs>
                <w:tab w:val="left" w:pos="1351"/>
              </w:tabs>
              <w:spacing w:after="0" w:line="240" w:lineRule="auto"/>
            </w:pPr>
            <w:r>
              <w:t>A l’issue de la restitution, un cours dialogué doit permettre de montrer qu’il y a eu  des périodes de fragilisation (régences, régicides…) et que le Roi doit respecter les lois fondamentales notamment les règles de succession.</w:t>
            </w:r>
          </w:p>
          <w:p w:rsidR="0016689F" w:rsidRDefault="0016689F">
            <w:pPr>
              <w:tabs>
                <w:tab w:val="left" w:pos="1351"/>
              </w:tabs>
              <w:spacing w:after="0" w:line="240" w:lineRule="auto"/>
            </w:pPr>
          </w:p>
          <w:p w:rsidR="0016689F" w:rsidRDefault="0016689F">
            <w:pPr>
              <w:tabs>
                <w:tab w:val="left" w:pos="1351"/>
              </w:tabs>
              <w:spacing w:after="0" w:line="240" w:lineRule="auto"/>
            </w:pPr>
          </w:p>
          <w:p w:rsidR="0016689F" w:rsidRDefault="0016689F">
            <w:pPr>
              <w:tabs>
                <w:tab w:val="left" w:pos="1351"/>
              </w:tabs>
              <w:spacing w:after="0" w:line="240" w:lineRule="auto"/>
            </w:pPr>
          </w:p>
          <w:p w:rsidR="00583CD5" w:rsidRDefault="00583CD5">
            <w:pPr>
              <w:tabs>
                <w:tab w:val="left" w:pos="1351"/>
              </w:tabs>
              <w:spacing w:after="0" w:line="240" w:lineRule="auto"/>
              <w:rPr>
                <w:b/>
              </w:rPr>
            </w:pPr>
          </w:p>
          <w:p w:rsidR="00583CD5" w:rsidRDefault="00583CD5">
            <w:pPr>
              <w:tabs>
                <w:tab w:val="left" w:pos="1351"/>
              </w:tabs>
              <w:spacing w:after="0" w:line="240" w:lineRule="auto"/>
              <w:rPr>
                <w:b/>
              </w:rPr>
            </w:pPr>
          </w:p>
          <w:p w:rsidR="0016689F" w:rsidRDefault="005E291C">
            <w:pPr>
              <w:tabs>
                <w:tab w:val="left" w:pos="1351"/>
              </w:tabs>
              <w:spacing w:after="0" w:line="240" w:lineRule="auto"/>
              <w:rPr>
                <w:b/>
              </w:rPr>
            </w:pPr>
            <w:r>
              <w:rPr>
                <w:b/>
              </w:rPr>
              <w:t>2. Un roi guerrier qui étend le territoire soumis à son autorité</w:t>
            </w:r>
          </w:p>
          <w:p w:rsidR="0016689F" w:rsidRDefault="005E291C">
            <w:pPr>
              <w:tabs>
                <w:tab w:val="left" w:pos="1351"/>
              </w:tabs>
              <w:spacing w:after="0" w:line="240" w:lineRule="auto"/>
            </w:pPr>
            <w:r>
              <w:t>On peut utiliser la conquête de la Franche-Comté (Dole notamment) puis avec quelques cartes montrer l'extension du domaine royal et du royaume. On peut aussi évoquer l'organisation d'une armée royale permanente et le rôle de la guerre dans la glorification du monarque. Une approche par Vauban (Fermeture du territoire royal par la ceinture de fortifications) permet aussi d'exploiter les ressources régionales.</w:t>
            </w:r>
          </w:p>
          <w:p w:rsidR="0016689F" w:rsidRDefault="005E291C">
            <w:pPr>
              <w:tabs>
                <w:tab w:val="left" w:pos="1351"/>
              </w:tabs>
              <w:spacing w:after="0" w:line="240" w:lineRule="auto"/>
            </w:pPr>
            <w:r>
              <w:t>La mise en activité dépendra des ressources locales</w:t>
            </w:r>
          </w:p>
          <w:p w:rsidR="0016689F" w:rsidRDefault="0016689F">
            <w:pPr>
              <w:tabs>
                <w:tab w:val="left" w:pos="1351"/>
              </w:tabs>
              <w:spacing w:after="0" w:line="240" w:lineRule="auto"/>
            </w:pPr>
          </w:p>
          <w:p w:rsidR="0016689F" w:rsidRDefault="0016689F">
            <w:pPr>
              <w:tabs>
                <w:tab w:val="left" w:pos="1351"/>
              </w:tabs>
              <w:spacing w:after="0" w:line="240" w:lineRule="auto"/>
            </w:pPr>
          </w:p>
          <w:p w:rsidR="0016689F" w:rsidRDefault="005E291C">
            <w:pPr>
              <w:pStyle w:val="Paragraphedeliste"/>
              <w:numPr>
                <w:ilvl w:val="0"/>
                <w:numId w:val="2"/>
              </w:numPr>
              <w:tabs>
                <w:tab w:val="left" w:pos="1351"/>
              </w:tabs>
              <w:spacing w:after="0" w:line="240" w:lineRule="auto"/>
              <w:rPr>
                <w:b/>
              </w:rPr>
            </w:pPr>
            <w:r>
              <w:rPr>
                <w:b/>
              </w:rPr>
              <w:t>Le roi cherche à soumettre la noblesse</w:t>
            </w:r>
          </w:p>
          <w:p w:rsidR="0016689F" w:rsidRDefault="005E291C">
            <w:pPr>
              <w:tabs>
                <w:tab w:val="left" w:pos="1351"/>
              </w:tabs>
              <w:spacing w:after="0" w:line="240" w:lineRule="auto"/>
            </w:pPr>
            <w:r>
              <w:t xml:space="preserve">On s'appuie essentiellement sur le point de passage : </w:t>
            </w:r>
            <w:r>
              <w:rPr>
                <w:b/>
              </w:rPr>
              <w:t>Versailles, le "roi-soleil" et la société de cour</w:t>
            </w:r>
          </w:p>
          <w:p w:rsidR="0016689F" w:rsidRDefault="005E291C">
            <w:pPr>
              <w:tabs>
                <w:tab w:val="left" w:pos="1351"/>
              </w:tabs>
              <w:spacing w:after="0" w:line="240" w:lineRule="auto"/>
              <w:rPr>
                <w:i/>
              </w:rPr>
            </w:pPr>
            <w:r>
              <w:rPr>
                <w:i/>
              </w:rPr>
              <w:t xml:space="preserve">On peut aisément s’appuyer le </w:t>
            </w:r>
            <w:hyperlink r:id="rId7" w:history="1">
              <w:r w:rsidRPr="00D470E5">
                <w:rPr>
                  <w:rStyle w:val="Lienhypertexte"/>
                  <w:i/>
                </w:rPr>
                <w:t>site du château de Versailles</w:t>
              </w:r>
            </w:hyperlink>
            <w:r>
              <w:rPr>
                <w:i/>
              </w:rPr>
              <w:t xml:space="preserve"> en fonction de ce que chaque enseignant veut mettre en valeur</w:t>
            </w:r>
          </w:p>
          <w:p w:rsidR="0016689F" w:rsidRDefault="005E291C">
            <w:pPr>
              <w:tabs>
                <w:tab w:val="left" w:pos="1351"/>
              </w:tabs>
              <w:spacing w:after="0" w:line="240" w:lineRule="auto"/>
            </w:pPr>
            <w:r>
              <w:t>Mais on nuancera en rappelant les  résistances nobiliaires (Fronde par ex) et le maintien du clientélisme des grandes familles</w:t>
            </w:r>
            <w:r w:rsidR="00D470E5">
              <w:t>.</w:t>
            </w:r>
          </w:p>
          <w:p w:rsidR="0016689F" w:rsidRDefault="0016689F">
            <w:pPr>
              <w:tabs>
                <w:tab w:val="left" w:pos="1351"/>
              </w:tabs>
              <w:spacing w:after="0" w:line="240" w:lineRule="auto"/>
            </w:pPr>
          </w:p>
          <w:p w:rsidR="0016689F" w:rsidRDefault="005E291C">
            <w:pPr>
              <w:tabs>
                <w:tab w:val="left" w:pos="1351"/>
              </w:tabs>
              <w:spacing w:after="0" w:line="240" w:lineRule="auto"/>
              <w:rPr>
                <w:b/>
              </w:rPr>
            </w:pPr>
            <w:r>
              <w:rPr>
                <w:b/>
              </w:rPr>
              <w:t>II. La construction d'un État moderne</w:t>
            </w:r>
          </w:p>
          <w:p w:rsidR="0016689F" w:rsidRDefault="005E291C">
            <w:pPr>
              <w:tabs>
                <w:tab w:val="left" w:pos="1351"/>
              </w:tabs>
              <w:spacing w:after="0" w:line="240" w:lineRule="auto"/>
            </w:pPr>
            <w:r>
              <w:t xml:space="preserve"> </w:t>
            </w:r>
          </w:p>
          <w:p w:rsidR="0016689F" w:rsidRDefault="005E291C">
            <w:pPr>
              <w:tabs>
                <w:tab w:val="left" w:pos="1351"/>
              </w:tabs>
              <w:spacing w:after="0" w:line="240" w:lineRule="auto"/>
            </w:pPr>
            <w:r>
              <w:t xml:space="preserve">Cette partie est, a priori plus difficile d’accès pour les élèves. </w:t>
            </w:r>
          </w:p>
          <w:p w:rsidR="0016689F" w:rsidRDefault="005E291C">
            <w:pPr>
              <w:tabs>
                <w:tab w:val="left" w:pos="1351"/>
              </w:tabs>
              <w:spacing w:after="0" w:line="240" w:lineRule="auto"/>
            </w:pPr>
            <w:r>
              <w:t>On peut envisager de séparer la classe en groupes autour des deux premiers thèmes, le troisième relevant davantage d’un cours dialogué.</w:t>
            </w:r>
          </w:p>
          <w:p w:rsidR="0016689F" w:rsidRDefault="005E291C">
            <w:pPr>
              <w:tabs>
                <w:tab w:val="left" w:pos="1351"/>
              </w:tabs>
              <w:spacing w:after="0" w:line="240" w:lineRule="auto"/>
            </w:pPr>
            <w:r>
              <w:t xml:space="preserve">Les élèves ont un tableau à disposition qu’ils remplissent au moment de la restitution orale </w:t>
            </w:r>
          </w:p>
          <w:p w:rsidR="0016689F" w:rsidRDefault="0016689F">
            <w:pPr>
              <w:tabs>
                <w:tab w:val="left" w:pos="1351"/>
              </w:tabs>
              <w:spacing w:after="0" w:line="240" w:lineRule="auto"/>
            </w:pPr>
          </w:p>
          <w:tbl>
            <w:tblPr>
              <w:tblW w:w="118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364"/>
              <w:gridCol w:w="3558"/>
              <w:gridCol w:w="2085"/>
              <w:gridCol w:w="3838"/>
            </w:tblGrid>
            <w:tr w:rsidR="0016689F">
              <w:tc>
                <w:tcPr>
                  <w:tcW w:w="592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pStyle w:val="Paragraphedeliste"/>
                    <w:numPr>
                      <w:ilvl w:val="1"/>
                      <w:numId w:val="1"/>
                    </w:numPr>
                    <w:tabs>
                      <w:tab w:val="left" w:pos="1351"/>
                    </w:tabs>
                    <w:spacing w:after="0" w:line="240" w:lineRule="auto"/>
                    <w:rPr>
                      <w:b/>
                      <w:sz w:val="20"/>
                      <w:szCs w:val="20"/>
                    </w:rPr>
                  </w:pPr>
                  <w:r>
                    <w:rPr>
                      <w:b/>
                      <w:sz w:val="20"/>
                      <w:szCs w:val="20"/>
                    </w:rPr>
                    <w:t>Le développement d'un appareil d'État</w:t>
                  </w:r>
                </w:p>
                <w:p w:rsidR="0016689F" w:rsidRDefault="0016689F">
                  <w:pPr>
                    <w:tabs>
                      <w:tab w:val="left" w:pos="1351"/>
                    </w:tabs>
                    <w:spacing w:after="0" w:line="240" w:lineRule="auto"/>
                    <w:rPr>
                      <w:sz w:val="20"/>
                      <w:szCs w:val="20"/>
                    </w:rPr>
                  </w:pPr>
                </w:p>
              </w:tc>
              <w:tc>
                <w:tcPr>
                  <w:tcW w:w="592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pStyle w:val="Paragraphedeliste"/>
                    <w:numPr>
                      <w:ilvl w:val="1"/>
                      <w:numId w:val="1"/>
                    </w:numPr>
                    <w:tabs>
                      <w:tab w:val="left" w:pos="1351"/>
                    </w:tabs>
                    <w:spacing w:after="0" w:line="240" w:lineRule="auto"/>
                    <w:rPr>
                      <w:b/>
                      <w:sz w:val="20"/>
                      <w:szCs w:val="20"/>
                    </w:rPr>
                  </w:pPr>
                  <w:r>
                    <w:rPr>
                      <w:b/>
                      <w:sz w:val="20"/>
                      <w:szCs w:val="20"/>
                    </w:rPr>
                    <w:t>L'État s'immisce dans l'économie</w:t>
                  </w:r>
                </w:p>
              </w:tc>
            </w:tr>
            <w:tr w:rsidR="0016689F">
              <w:tc>
                <w:tcPr>
                  <w:tcW w:w="23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Ordonnance de Villers-Cotterêts</w:t>
                  </w:r>
                </w:p>
                <w:p w:rsidR="0016689F" w:rsidRDefault="005E291C">
                  <w:pPr>
                    <w:tabs>
                      <w:tab w:val="left" w:pos="1351"/>
                    </w:tabs>
                    <w:spacing w:after="0" w:line="240" w:lineRule="auto"/>
                    <w:rPr>
                      <w:sz w:val="20"/>
                      <w:szCs w:val="20"/>
                    </w:rPr>
                  </w:pPr>
                  <w:r>
                    <w:rPr>
                      <w:sz w:val="20"/>
                      <w:szCs w:val="20"/>
                    </w:rPr>
                    <w:t>Objectif : souligner la volonté de centralisation monarchique</w:t>
                  </w:r>
                </w:p>
              </w:tc>
              <w:tc>
                <w:tcPr>
                  <w:tcW w:w="3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Colbert, un serviteur de l’État</w:t>
                  </w:r>
                </w:p>
              </w:tc>
              <w:tc>
                <w:tcPr>
                  <w:tcW w:w="38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r>
            <w:tr w:rsidR="0016689F">
              <w:tc>
                <w:tcPr>
                  <w:tcW w:w="23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Rôle des intendants</w:t>
                  </w:r>
                </w:p>
              </w:tc>
              <w:tc>
                <w:tcPr>
                  <w:tcW w:w="3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Le mercantilisme</w:t>
                  </w:r>
                </w:p>
              </w:tc>
              <w:tc>
                <w:tcPr>
                  <w:tcW w:w="38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r>
            <w:tr w:rsidR="0016689F">
              <w:tc>
                <w:tcPr>
                  <w:tcW w:w="23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Les impôts royaux</w:t>
                  </w:r>
                </w:p>
              </w:tc>
              <w:tc>
                <w:tcPr>
                  <w:tcW w:w="3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Une manufacture : les Gobelins</w:t>
                  </w:r>
                </w:p>
              </w:tc>
              <w:tc>
                <w:tcPr>
                  <w:tcW w:w="38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r>
            <w:tr w:rsidR="0016689F">
              <w:tc>
                <w:tcPr>
                  <w:tcW w:w="23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Les offices</w:t>
                  </w:r>
                </w:p>
              </w:tc>
              <w:tc>
                <w:tcPr>
                  <w:tcW w:w="3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c>
                <w:tcPr>
                  <w:tcW w:w="20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5E291C">
                  <w:pPr>
                    <w:tabs>
                      <w:tab w:val="left" w:pos="1351"/>
                    </w:tabs>
                    <w:spacing w:after="0" w:line="240" w:lineRule="auto"/>
                    <w:rPr>
                      <w:sz w:val="20"/>
                      <w:szCs w:val="20"/>
                    </w:rPr>
                  </w:pPr>
                  <w:r>
                    <w:rPr>
                      <w:sz w:val="20"/>
                      <w:szCs w:val="20"/>
                    </w:rPr>
                    <w:t>L’expansion maritime (construction d’une carte ?)</w:t>
                  </w:r>
                </w:p>
              </w:tc>
              <w:tc>
                <w:tcPr>
                  <w:tcW w:w="38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6689F" w:rsidRDefault="0016689F">
                  <w:pPr>
                    <w:tabs>
                      <w:tab w:val="left" w:pos="1351"/>
                    </w:tabs>
                    <w:spacing w:after="0" w:line="240" w:lineRule="auto"/>
                    <w:rPr>
                      <w:sz w:val="20"/>
                      <w:szCs w:val="20"/>
                    </w:rPr>
                  </w:pPr>
                </w:p>
              </w:tc>
            </w:tr>
          </w:tbl>
          <w:p w:rsidR="0016689F" w:rsidRDefault="005E291C">
            <w:pPr>
              <w:tabs>
                <w:tab w:val="left" w:pos="1351"/>
              </w:tabs>
              <w:spacing w:after="0" w:line="240" w:lineRule="auto"/>
            </w:pPr>
            <w:bookmarkStart w:id="0" w:name="_GoBack"/>
            <w:bookmarkEnd w:id="0"/>
            <w:r>
              <w:lastRenderedPageBreak/>
              <w:t>L’enseignant n’oubliera pas d’apporter des nuances : faiblesse encadrement, relatif respect des particularismes régionaux (Franche-Comté par exemple) et des multiples corps intermédiaires</w:t>
            </w:r>
            <w:r w:rsidR="00BF41D8">
              <w:t>.</w:t>
            </w:r>
          </w:p>
          <w:p w:rsidR="0016689F" w:rsidRDefault="0016689F">
            <w:pPr>
              <w:tabs>
                <w:tab w:val="left" w:pos="1351"/>
              </w:tabs>
              <w:spacing w:after="0" w:line="240" w:lineRule="auto"/>
              <w:rPr>
                <w:b/>
              </w:rPr>
            </w:pPr>
          </w:p>
          <w:p w:rsidR="0016689F" w:rsidRDefault="005E291C">
            <w:pPr>
              <w:tabs>
                <w:tab w:val="left" w:pos="1351"/>
              </w:tabs>
              <w:spacing w:after="0" w:line="240" w:lineRule="auto"/>
              <w:rPr>
                <w:b/>
              </w:rPr>
            </w:pPr>
            <w:r>
              <w:rPr>
                <w:b/>
              </w:rPr>
              <w:t>3. La question religieuse</w:t>
            </w:r>
          </w:p>
          <w:p w:rsidR="0016689F" w:rsidRDefault="005E291C">
            <w:pPr>
              <w:tabs>
                <w:tab w:val="left" w:pos="1351"/>
              </w:tabs>
              <w:spacing w:after="0" w:line="240" w:lineRule="auto"/>
            </w:pPr>
            <w:r>
              <w:t>Volonté royale de s'affranchir de la papauté et la difficile gestion des conflits religieux, en liaison avec le chapitre précédent. Le point de passage</w:t>
            </w:r>
            <w:r w:rsidR="00BF41D8">
              <w:t xml:space="preserve"> </w:t>
            </w:r>
            <w:r>
              <w:t xml:space="preserve">: </w:t>
            </w:r>
            <w:r>
              <w:rPr>
                <w:b/>
                <w:bCs/>
              </w:rPr>
              <w:t>É</w:t>
            </w:r>
            <w:r>
              <w:rPr>
                <w:b/>
              </w:rPr>
              <w:t>dit de Nantes</w:t>
            </w:r>
            <w:r>
              <w:t xml:space="preserve"> et sa révocation constitue l'essentiel du propos.</w:t>
            </w:r>
          </w:p>
          <w:p w:rsidR="0016689F" w:rsidRDefault="0016689F">
            <w:pPr>
              <w:tabs>
                <w:tab w:val="left" w:pos="1351"/>
              </w:tabs>
              <w:spacing w:after="0" w:line="240" w:lineRule="auto"/>
            </w:pPr>
          </w:p>
        </w:tc>
      </w:tr>
      <w:tr w:rsidR="0016689F">
        <w:trPr>
          <w:trHeight w:val="810"/>
        </w:trPr>
        <w:tc>
          <w:tcPr>
            <w:tcW w:w="3254" w:type="dxa"/>
            <w:tcBorders>
              <w:top w:val="single" w:sz="4" w:space="0" w:color="000001"/>
              <w:left w:val="single" w:sz="4" w:space="0" w:color="000001"/>
              <w:bottom w:val="single" w:sz="4" w:space="0" w:color="000001"/>
            </w:tcBorders>
            <w:shd w:val="clear" w:color="auto" w:fill="auto"/>
            <w:tcMar>
              <w:left w:w="55" w:type="dxa"/>
            </w:tcMar>
          </w:tcPr>
          <w:p w:rsidR="0016689F" w:rsidRDefault="005E291C">
            <w:pPr>
              <w:spacing w:after="0" w:line="240" w:lineRule="auto"/>
            </w:pPr>
            <w:r>
              <w:lastRenderedPageBreak/>
              <w:t>Capacités et méthodes</w:t>
            </w:r>
          </w:p>
        </w:tc>
        <w:tc>
          <w:tcPr>
            <w:tcW w:w="11996" w:type="dxa"/>
            <w:gridSpan w:val="2"/>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Default="005E291C">
            <w:pPr>
              <w:spacing w:after="0" w:line="240" w:lineRule="auto"/>
            </w:pPr>
            <w:r>
              <w:t>Identifier et nommer quelques acteurs-clés. Mettre une figure ou un événement en perspective. Analyse critique de documents</w:t>
            </w:r>
          </w:p>
        </w:tc>
      </w:tr>
      <w:tr w:rsidR="0016689F">
        <w:trPr>
          <w:trHeight w:val="810"/>
        </w:trPr>
        <w:tc>
          <w:tcPr>
            <w:tcW w:w="3254" w:type="dxa"/>
            <w:tcBorders>
              <w:top w:val="single" w:sz="4" w:space="0" w:color="000001"/>
              <w:left w:val="single" w:sz="4" w:space="0" w:color="000001"/>
              <w:bottom w:val="single" w:sz="4" w:space="0" w:color="000001"/>
            </w:tcBorders>
            <w:shd w:val="clear" w:color="auto" w:fill="auto"/>
            <w:tcMar>
              <w:left w:w="55" w:type="dxa"/>
            </w:tcMar>
          </w:tcPr>
          <w:p w:rsidR="0016689F" w:rsidRDefault="005E291C">
            <w:pPr>
              <w:spacing w:after="0" w:line="240" w:lineRule="auto"/>
            </w:pPr>
            <w:r>
              <w:t>Ressources complémentaires</w:t>
            </w:r>
          </w:p>
        </w:tc>
        <w:tc>
          <w:tcPr>
            <w:tcW w:w="11996" w:type="dxa"/>
            <w:gridSpan w:val="2"/>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16689F" w:rsidRDefault="005E291C">
            <w:pPr>
              <w:spacing w:after="0" w:line="240" w:lineRule="auto"/>
            </w:pPr>
            <w:r>
              <w:t xml:space="preserve">J. Cornette, </w:t>
            </w:r>
            <w:r>
              <w:rPr>
                <w:i/>
              </w:rPr>
              <w:t>L'affirmation de l'</w:t>
            </w:r>
            <w:proofErr w:type="spellStart"/>
            <w:r>
              <w:rPr>
                <w:i/>
              </w:rPr>
              <w:t>Etat</w:t>
            </w:r>
            <w:proofErr w:type="spellEnd"/>
            <w:r>
              <w:rPr>
                <w:i/>
              </w:rPr>
              <w:t xml:space="preserve"> absolu</w:t>
            </w:r>
            <w:r>
              <w:t>, Hachette 2012. Documentation photographique: La monarchie absolue, 2007 (un peu ancienne mais toujours utile)</w:t>
            </w:r>
          </w:p>
          <w:p w:rsidR="0016689F" w:rsidRDefault="005E291C">
            <w:pPr>
              <w:pStyle w:val="NormalWeb"/>
              <w:shd w:val="clear" w:color="auto" w:fill="FFFFFF"/>
              <w:spacing w:before="0" w:after="0"/>
            </w:pPr>
            <w:r>
              <w:rPr>
                <w:rFonts w:ascii="Calibri" w:hAnsi="Calibri"/>
                <w:sz w:val="22"/>
                <w:szCs w:val="22"/>
              </w:rPr>
              <w:t xml:space="preserve">A. </w:t>
            </w:r>
            <w:proofErr w:type="spellStart"/>
            <w:r>
              <w:rPr>
                <w:rFonts w:ascii="Calibri" w:hAnsi="Calibri"/>
                <w:sz w:val="22"/>
                <w:szCs w:val="22"/>
              </w:rPr>
              <w:t>Jouanna</w:t>
            </w:r>
            <w:proofErr w:type="spellEnd"/>
            <w:r>
              <w:rPr>
                <w:rFonts w:ascii="Calibri" w:hAnsi="Calibri"/>
                <w:sz w:val="22"/>
                <w:szCs w:val="22"/>
              </w:rPr>
              <w:t xml:space="preserve">, </w:t>
            </w:r>
            <w:r>
              <w:rPr>
                <w:rFonts w:ascii="Calibri" w:hAnsi="Calibri"/>
                <w:i/>
                <w:sz w:val="22"/>
                <w:szCs w:val="22"/>
              </w:rPr>
              <w:t>Le prince absolu</w:t>
            </w:r>
            <w:r>
              <w:rPr>
                <w:rFonts w:ascii="Calibri" w:hAnsi="Calibri"/>
                <w:sz w:val="22"/>
                <w:szCs w:val="22"/>
              </w:rPr>
              <w:t>, Gallimard, 2013.</w:t>
            </w:r>
            <w:r>
              <w:rPr>
                <w:rFonts w:ascii="Calibri" w:hAnsi="Calibri"/>
                <w:sz w:val="22"/>
                <w:szCs w:val="22"/>
                <w:highlight w:val="white"/>
              </w:rPr>
              <w:t xml:space="preserve"> </w:t>
            </w:r>
          </w:p>
          <w:p w:rsidR="0016689F" w:rsidRDefault="005E291C">
            <w:pPr>
              <w:pStyle w:val="NormalWeb"/>
              <w:shd w:val="clear" w:color="auto" w:fill="FFFFFF"/>
              <w:spacing w:before="0" w:after="0"/>
            </w:pPr>
            <w:r>
              <w:rPr>
                <w:rFonts w:ascii="Calibri" w:hAnsi="Calibri"/>
                <w:sz w:val="22"/>
                <w:szCs w:val="22"/>
              </w:rPr>
              <w:t xml:space="preserve">Jean-François </w:t>
            </w:r>
            <w:proofErr w:type="spellStart"/>
            <w:r>
              <w:rPr>
                <w:rFonts w:ascii="Calibri" w:hAnsi="Calibri"/>
                <w:sz w:val="22"/>
                <w:szCs w:val="22"/>
              </w:rPr>
              <w:t>Solnon</w:t>
            </w:r>
            <w:proofErr w:type="spellEnd"/>
            <w:r>
              <w:rPr>
                <w:rFonts w:ascii="Calibri" w:hAnsi="Calibri"/>
                <w:sz w:val="22"/>
                <w:szCs w:val="22"/>
              </w:rPr>
              <w:t xml:space="preserve"> . </w:t>
            </w:r>
            <w:r>
              <w:rPr>
                <w:rStyle w:val="Accentuation"/>
                <w:rFonts w:ascii="Calibri" w:hAnsi="Calibri"/>
                <w:sz w:val="22"/>
                <w:szCs w:val="22"/>
              </w:rPr>
              <w:t>Louis XIV vérités et légendes</w:t>
            </w:r>
            <w:r w:rsidR="00BF41D8">
              <w:rPr>
                <w:rFonts w:ascii="Calibri" w:hAnsi="Calibri"/>
                <w:sz w:val="22"/>
                <w:szCs w:val="22"/>
              </w:rPr>
              <w:t xml:space="preserve">. Paris, </w:t>
            </w:r>
            <w:r>
              <w:rPr>
                <w:rFonts w:ascii="Calibri" w:hAnsi="Calibri"/>
                <w:sz w:val="22"/>
                <w:szCs w:val="22"/>
              </w:rPr>
              <w:t>Perrin, 2015.</w:t>
            </w:r>
          </w:p>
          <w:p w:rsidR="0016689F" w:rsidRDefault="005E291C">
            <w:pPr>
              <w:spacing w:after="0" w:line="240" w:lineRule="auto"/>
            </w:pPr>
            <w:r>
              <w:t xml:space="preserve">Olivier </w:t>
            </w:r>
            <w:proofErr w:type="spellStart"/>
            <w:r>
              <w:t>Chaline</w:t>
            </w:r>
            <w:proofErr w:type="spellEnd"/>
            <w:r>
              <w:rPr>
                <w:i/>
              </w:rPr>
              <w:t>. Le règne de Louis XIV</w:t>
            </w:r>
            <w:r>
              <w:t xml:space="preserve"> (2005 révisé 2015)</w:t>
            </w:r>
          </w:p>
        </w:tc>
      </w:tr>
    </w:tbl>
    <w:p w:rsidR="0016689F" w:rsidRDefault="0016689F">
      <w:pPr>
        <w:spacing w:after="0" w:line="240" w:lineRule="auto"/>
      </w:pPr>
    </w:p>
    <w:sectPr w:rsidR="0016689F">
      <w:headerReference w:type="default" r:id="rId8"/>
      <w:footerReference w:type="default" r:id="rId9"/>
      <w:pgSz w:w="16838" w:h="11906" w:orient="landscape"/>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C5A" w:rsidRDefault="000F2C5A">
      <w:pPr>
        <w:spacing w:after="0" w:line="240" w:lineRule="auto"/>
      </w:pPr>
      <w:r>
        <w:separator/>
      </w:r>
    </w:p>
  </w:endnote>
  <w:endnote w:type="continuationSeparator" w:id="0">
    <w:p w:rsidR="000F2C5A" w:rsidRDefault="000F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Calibri"/>
    <w:panose1 w:val="020B0604020202020204"/>
    <w:charset w:val="01"/>
    <w:family w:val="auto"/>
    <w:pitch w:val="variable"/>
  </w:font>
  <w:font w:name="Liberation Sans">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89F" w:rsidRDefault="005E291C">
    <w:pPr>
      <w:pStyle w:val="Pieddepage"/>
    </w:pPr>
    <w:r>
      <w:t>Ressources académiques Histoire-géographie, groupe Travail lycée, académie de Besançon, année 2018-2019</w:t>
    </w:r>
  </w:p>
  <w:p w:rsidR="0016689F" w:rsidRDefault="00166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C5A" w:rsidRDefault="000F2C5A">
      <w:pPr>
        <w:spacing w:after="0" w:line="240" w:lineRule="auto"/>
      </w:pPr>
      <w:r>
        <w:separator/>
      </w:r>
    </w:p>
  </w:footnote>
  <w:footnote w:type="continuationSeparator" w:id="0">
    <w:p w:rsidR="000F2C5A" w:rsidRDefault="000F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89F" w:rsidRDefault="005E291C">
    <w:pPr>
      <w:pStyle w:val="En-tte"/>
      <w:jc w:val="center"/>
      <w:rPr>
        <w:b/>
      </w:rPr>
    </w:pPr>
    <w:r>
      <w:rPr>
        <w:b/>
      </w:rPr>
      <w:t>Fiche professeur</w:t>
    </w:r>
  </w:p>
  <w:p w:rsidR="0016689F" w:rsidRDefault="005E291C">
    <w:pPr>
      <w:pStyle w:val="En-tte"/>
      <w:jc w:val="center"/>
      <w:rPr>
        <w:b/>
      </w:rPr>
    </w:pPr>
    <w:r>
      <w:rPr>
        <w:b/>
      </w:rPr>
      <w:t xml:space="preserve">Mise en </w:t>
    </w:r>
    <w:proofErr w:type="spellStart"/>
    <w:r>
      <w:rPr>
        <w:b/>
      </w:rPr>
      <w:t>oeuvre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A48"/>
    <w:multiLevelType w:val="multilevel"/>
    <w:tmpl w:val="9F66ADD6"/>
    <w:lvl w:ilvl="0">
      <w:start w:val="1"/>
      <w:numFmt w:val="bullet"/>
      <w:lvlText w:val=""/>
      <w:lvlJc w:val="left"/>
      <w:pPr>
        <w:ind w:left="720" w:hanging="360"/>
      </w:pPr>
      <w:rPr>
        <w:rFonts w:ascii="Wingdings"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B6609A"/>
    <w:multiLevelType w:val="multilevel"/>
    <w:tmpl w:val="5EA8C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DA251E"/>
    <w:multiLevelType w:val="multilevel"/>
    <w:tmpl w:val="5290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CD0AB9"/>
    <w:multiLevelType w:val="multilevel"/>
    <w:tmpl w:val="198EDDCA"/>
    <w:lvl w:ilvl="0">
      <w:start w:val="1"/>
      <w:numFmt w:val="upperRoman"/>
      <w:lvlText w:val="%1."/>
      <w:lvlJc w:val="left"/>
      <w:pPr>
        <w:ind w:left="1080" w:hanging="720"/>
      </w:pPr>
      <w:rPr>
        <w:rFonts w:ascii="Calibri" w:hAnsi="Calibri"/>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89F"/>
    <w:rsid w:val="000F2C5A"/>
    <w:rsid w:val="0016689F"/>
    <w:rsid w:val="00583CD5"/>
    <w:rsid w:val="005E291C"/>
    <w:rsid w:val="00BF41D8"/>
    <w:rsid w:val="00D47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FC31CE"/>
  <w15:docId w15:val="{0EDBCE7E-15D9-934D-8349-3D07C5D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homa" w:hAnsi="Liberation Serif" w:cs="Droid Sans Devanagari"/>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2" w:lineRule="auto"/>
    </w:pPr>
    <w:rPr>
      <w:rFonts w:ascii="Calibri" w:eastAsia="Calibri" w:hAnsi="Calibri" w:cs="Arial"/>
      <w:color w:val="00000A"/>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styleId="Accentuation">
    <w:name w:val="Emphasis"/>
    <w:basedOn w:val="Policepardfaut"/>
    <w:qFormat/>
    <w:rPr>
      <w:i/>
      <w:iCs/>
    </w:rPr>
  </w:style>
  <w:style w:type="character" w:customStyle="1" w:styleId="ListLabel1">
    <w:name w:val="ListLabel 1"/>
    <w:qFormat/>
    <w:rPr>
      <w:b/>
    </w:rPr>
  </w:style>
  <w:style w:type="character" w:customStyle="1" w:styleId="ListLabel2">
    <w:name w:val="ListLabel 2"/>
    <w:qFormat/>
    <w:rPr>
      <w:rFonts w:eastAsia="Calibri"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alibri" w:hAnsi="Calibri"/>
      <w:b/>
    </w:rPr>
  </w:style>
  <w:style w:type="character" w:customStyle="1" w:styleId="ListLabel10">
    <w:name w:val="ListLabel 10"/>
    <w:qFormat/>
    <w:rPr>
      <w:rFonts w:ascii="Calibri" w:hAnsi="Calibri" w:cs="Aria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qFormat/>
    <w:pPr>
      <w:ind w:left="720"/>
      <w:contextualSpacing/>
    </w:pPr>
  </w:style>
  <w:style w:type="character" w:styleId="Lienhypertexte">
    <w:name w:val="Hyperlink"/>
    <w:basedOn w:val="Policepardfaut"/>
    <w:uiPriority w:val="99"/>
    <w:unhideWhenUsed/>
    <w:rsid w:val="00D470E5"/>
    <w:rPr>
      <w:color w:val="0563C1" w:themeColor="hyperlink"/>
      <w:u w:val="single"/>
    </w:rPr>
  </w:style>
  <w:style w:type="character" w:styleId="Mentionnonrsolue">
    <w:name w:val="Unresolved Mention"/>
    <w:basedOn w:val="Policepardfaut"/>
    <w:uiPriority w:val="99"/>
    <w:semiHidden/>
    <w:unhideWhenUsed/>
    <w:rsid w:val="00D470E5"/>
    <w:rPr>
      <w:color w:val="808080"/>
      <w:shd w:val="clear" w:color="auto" w:fill="E6E6E6"/>
    </w:rPr>
  </w:style>
  <w:style w:type="paragraph" w:styleId="Textedebulles">
    <w:name w:val="Balloon Text"/>
    <w:basedOn w:val="Normal"/>
    <w:link w:val="TextedebullesCar"/>
    <w:uiPriority w:val="99"/>
    <w:semiHidden/>
    <w:unhideWhenUsed/>
    <w:rsid w:val="00583CD5"/>
    <w:pPr>
      <w:spacing w:after="0" w:line="240" w:lineRule="auto"/>
    </w:pPr>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583CD5"/>
    <w:rPr>
      <w:rFonts w:ascii="Times New Roman" w:eastAsia="Calibri" w:hAnsi="Times New Roman" w:cs="Times New Roman"/>
      <w:color w:val="00000A"/>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teauversaill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3936</Characters>
  <Application>Microsoft Office Word</Application>
  <DocSecurity>0</DocSecurity>
  <Lines>32</Lines>
  <Paragraphs>9</Paragraphs>
  <ScaleCrop>false</ScaleCrop>
  <Company>Hewlett-Packard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Dupanloup</dc:creator>
  <dc:description/>
  <cp:lastModifiedBy>jp costille</cp:lastModifiedBy>
  <cp:revision>3</cp:revision>
  <cp:lastPrinted>2019-06-08T09:17:00Z</cp:lastPrinted>
  <dcterms:created xsi:type="dcterms:W3CDTF">2019-06-08T09:17:00Z</dcterms:created>
  <dcterms:modified xsi:type="dcterms:W3CDTF">2019-06-08T09:17:00Z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